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D56A0" w14:textId="6AA8CE20" w:rsidR="007406DD" w:rsidRPr="007406DD" w:rsidRDefault="007406DD" w:rsidP="007406DD">
      <w:pPr>
        <w:pStyle w:val="Heading1"/>
        <w:jc w:val="center"/>
        <w:rPr>
          <w:b/>
          <w:bCs/>
        </w:rPr>
      </w:pPr>
      <w:r w:rsidRPr="007406DD">
        <w:rPr>
          <w:b/>
          <w:bCs/>
        </w:rPr>
        <w:t>TEC Champions Role Profile and Specification</w:t>
      </w:r>
    </w:p>
    <w:p w14:paraId="5BEB3945" w14:textId="2099AAE9" w:rsidR="007406DD" w:rsidRPr="007406DD" w:rsidRDefault="007406DD" w:rsidP="007406DD">
      <w:pPr>
        <w:pStyle w:val="Heading2"/>
        <w:rPr>
          <w:b/>
          <w:bCs/>
        </w:rPr>
      </w:pPr>
      <w:r w:rsidRPr="007406DD">
        <w:rPr>
          <w:b/>
          <w:bCs/>
        </w:rPr>
        <w:t xml:space="preserve">About the Role </w:t>
      </w:r>
    </w:p>
    <w:p w14:paraId="6A010021" w14:textId="3B2D8C36" w:rsidR="007406DD" w:rsidRPr="007406DD" w:rsidRDefault="007406DD" w:rsidP="007406DD">
      <w:pPr>
        <w:numPr>
          <w:ilvl w:val="0"/>
          <w:numId w:val="4"/>
        </w:numPr>
      </w:pPr>
      <w:r w:rsidRPr="007406DD">
        <w:t xml:space="preserve">TEC Champions are key to the success of </w:t>
      </w:r>
      <w:r w:rsidR="00B0313B">
        <w:t>our</w:t>
      </w:r>
      <w:r w:rsidRPr="007406DD">
        <w:t xml:space="preserve"> ‘</w:t>
      </w:r>
      <w:r w:rsidR="00B0313B">
        <w:t>TEC</w:t>
      </w:r>
      <w:r w:rsidRPr="007406DD">
        <w:t xml:space="preserve"> first’ approach!</w:t>
      </w:r>
    </w:p>
    <w:p w14:paraId="2CA77B09" w14:textId="00EE9330" w:rsidR="002F4F42" w:rsidRPr="007406DD" w:rsidRDefault="002F4F42" w:rsidP="007406DD">
      <w:pPr>
        <w:numPr>
          <w:ilvl w:val="0"/>
          <w:numId w:val="4"/>
        </w:numPr>
      </w:pPr>
      <w:r>
        <w:t>Ideally there will be 2-3 TEC Champions in each service area within Sheffield City Council and from our partner organisations, and commissioned provider services</w:t>
      </w:r>
    </w:p>
    <w:p w14:paraId="0EA21DC4" w14:textId="01119B4E" w:rsidR="007406DD" w:rsidRPr="007406DD" w:rsidRDefault="00B0313B" w:rsidP="007406DD">
      <w:pPr>
        <w:numPr>
          <w:ilvl w:val="0"/>
          <w:numId w:val="4"/>
        </w:numPr>
      </w:pPr>
      <w:r>
        <w:t>The Champions Group will m</w:t>
      </w:r>
      <w:r w:rsidR="007406DD" w:rsidRPr="007406DD">
        <w:t xml:space="preserve">eet quarterly to </w:t>
      </w:r>
      <w:r>
        <w:t>share/</w:t>
      </w:r>
      <w:r w:rsidR="007406DD" w:rsidRPr="007406DD">
        <w:t>develop knowledge; to provide peer support; and to share best practice and case studies.</w:t>
      </w:r>
    </w:p>
    <w:p w14:paraId="7C5CA019" w14:textId="2829AC17" w:rsidR="007406DD" w:rsidRPr="007406DD" w:rsidRDefault="007406DD" w:rsidP="007406DD">
      <w:pPr>
        <w:numPr>
          <w:ilvl w:val="0"/>
          <w:numId w:val="4"/>
        </w:numPr>
      </w:pPr>
      <w:r w:rsidRPr="007406DD">
        <w:t xml:space="preserve"> The role is open to qualified and unqualified staff of any discipline to act as the TEC Champion for their </w:t>
      </w:r>
      <w:r w:rsidR="00B0313B">
        <w:t xml:space="preserve">service </w:t>
      </w:r>
      <w:proofErr w:type="spellStart"/>
      <w:r w:rsidR="00B0313B">
        <w:t>arfeas</w:t>
      </w:r>
      <w:proofErr w:type="spellEnd"/>
      <w:r w:rsidRPr="007406DD">
        <w:t xml:space="preserve"> utilising their skills and knowledge to help deliver outcomes for people.</w:t>
      </w:r>
    </w:p>
    <w:p w14:paraId="0876CC42" w14:textId="3DEAA08A" w:rsidR="007406DD" w:rsidRPr="007406DD" w:rsidRDefault="007406DD" w:rsidP="007406DD">
      <w:pPr>
        <w:numPr>
          <w:ilvl w:val="0"/>
          <w:numId w:val="4"/>
        </w:numPr>
      </w:pPr>
      <w:r w:rsidRPr="007406DD">
        <w:t xml:space="preserve">The TEC Champions will help co-produce plans related to referral processes; the importance of TEC; the implications of not utilising TEC; training; and comms and promotion. </w:t>
      </w:r>
    </w:p>
    <w:p w14:paraId="5086A61D" w14:textId="77777777" w:rsidR="007406DD" w:rsidRPr="007406DD" w:rsidRDefault="007406DD" w:rsidP="007406DD">
      <w:pPr>
        <w:pStyle w:val="Heading2"/>
        <w:rPr>
          <w:b/>
          <w:bCs/>
        </w:rPr>
      </w:pPr>
      <w:r w:rsidRPr="007406DD">
        <w:rPr>
          <w:b/>
          <w:bCs/>
        </w:rPr>
        <w:t>TEC Champions need to:</w:t>
      </w:r>
    </w:p>
    <w:p w14:paraId="589F91D5" w14:textId="77777777" w:rsidR="007406DD" w:rsidRPr="007406DD" w:rsidRDefault="007406DD" w:rsidP="007406DD">
      <w:pPr>
        <w:numPr>
          <w:ilvl w:val="0"/>
          <w:numId w:val="5"/>
        </w:numPr>
      </w:pPr>
      <w:r w:rsidRPr="007406DD">
        <w:t xml:space="preserve">Be creative, resilient, adaptable, organised and able to work in a fast-paced environment. </w:t>
      </w:r>
    </w:p>
    <w:p w14:paraId="7CAA7669" w14:textId="77777777" w:rsidR="007406DD" w:rsidRDefault="007406DD" w:rsidP="007406DD">
      <w:pPr>
        <w:numPr>
          <w:ilvl w:val="0"/>
          <w:numId w:val="5"/>
        </w:numPr>
      </w:pPr>
      <w:r w:rsidRPr="007406DD">
        <w:t xml:space="preserve">Be committed to learning more about technology and how to implement it in practice. </w:t>
      </w:r>
    </w:p>
    <w:p w14:paraId="3D691C11" w14:textId="127D1C2C" w:rsidR="003E197E" w:rsidRPr="00A4459B" w:rsidRDefault="003E197E" w:rsidP="003E197E">
      <w:pPr>
        <w:pStyle w:val="ListParagraph"/>
        <w:numPr>
          <w:ilvl w:val="0"/>
          <w:numId w:val="5"/>
        </w:numPr>
        <w:rPr>
          <w:rFonts w:cs="Arial"/>
        </w:rPr>
      </w:pPr>
      <w:r w:rsidRPr="00A4459B">
        <w:rPr>
          <w:rFonts w:cs="Arial"/>
        </w:rPr>
        <w:t xml:space="preserve">Complete </w:t>
      </w:r>
      <w:r w:rsidR="008065E4">
        <w:rPr>
          <w:rFonts w:cs="Arial"/>
        </w:rPr>
        <w:t xml:space="preserve">both modules of </w:t>
      </w:r>
      <w:r w:rsidRPr="00A4459B">
        <w:rPr>
          <w:rFonts w:cs="Arial"/>
        </w:rPr>
        <w:t xml:space="preserve">the online TEC Know How </w:t>
      </w:r>
      <w:r w:rsidR="008065E4">
        <w:rPr>
          <w:rFonts w:cs="Arial"/>
        </w:rPr>
        <w:t xml:space="preserve">Training - </w:t>
      </w:r>
      <w:r w:rsidR="000A2A27">
        <w:rPr>
          <w:rFonts w:cs="Arial"/>
        </w:rPr>
        <w:t xml:space="preserve">1. </w:t>
      </w:r>
      <w:r w:rsidR="00462369">
        <w:rPr>
          <w:rFonts w:cs="Arial"/>
        </w:rPr>
        <w:t xml:space="preserve">TEC Explorer </w:t>
      </w:r>
      <w:r w:rsidR="000A2A27">
        <w:rPr>
          <w:rFonts w:cs="Arial"/>
        </w:rPr>
        <w:t>2. TEC Expert</w:t>
      </w:r>
      <w:r w:rsidR="00462369">
        <w:rPr>
          <w:rFonts w:cs="Arial"/>
        </w:rPr>
        <w:t>;</w:t>
      </w:r>
      <w:r w:rsidR="000A2A27">
        <w:rPr>
          <w:rFonts w:cs="Arial"/>
        </w:rPr>
        <w:t xml:space="preserve"> </w:t>
      </w:r>
      <w:r w:rsidRPr="00A4459B">
        <w:rPr>
          <w:rFonts w:cs="Arial"/>
        </w:rPr>
        <w:t xml:space="preserve">and to encourage their colleagues to complete training. </w:t>
      </w:r>
    </w:p>
    <w:p w14:paraId="328D98C6" w14:textId="4944E020" w:rsidR="007406DD" w:rsidRPr="007406DD" w:rsidRDefault="007406DD" w:rsidP="007406DD">
      <w:pPr>
        <w:numPr>
          <w:ilvl w:val="0"/>
          <w:numId w:val="5"/>
        </w:numPr>
      </w:pPr>
      <w:r w:rsidRPr="007406DD">
        <w:t xml:space="preserve">Have </w:t>
      </w:r>
      <w:r w:rsidR="00B0313B">
        <w:t>good</w:t>
      </w:r>
      <w:r w:rsidRPr="007406DD">
        <w:t xml:space="preserve"> communication and interpersonal skills</w:t>
      </w:r>
    </w:p>
    <w:p w14:paraId="7D2ABCDE" w14:textId="3C74B637" w:rsidR="007406DD" w:rsidRPr="007406DD" w:rsidRDefault="007406DD" w:rsidP="007406DD">
      <w:pPr>
        <w:numPr>
          <w:ilvl w:val="0"/>
          <w:numId w:val="5"/>
        </w:numPr>
      </w:pPr>
      <w:r w:rsidRPr="007406DD">
        <w:t xml:space="preserve">Proactively work with customers, carers, colleagues and other partners to achieve </w:t>
      </w:r>
      <w:r w:rsidR="00B0313B">
        <w:t xml:space="preserve">our targeted </w:t>
      </w:r>
      <w:r w:rsidRPr="007406DD">
        <w:t>outcomes</w:t>
      </w:r>
      <w:r w:rsidR="00B0313B">
        <w:t xml:space="preserve"> as part of our TEC First approach. </w:t>
      </w:r>
    </w:p>
    <w:p w14:paraId="6B9C81CA" w14:textId="77777777" w:rsidR="007406DD" w:rsidRPr="007406DD" w:rsidRDefault="007406DD" w:rsidP="007406DD">
      <w:pPr>
        <w:numPr>
          <w:ilvl w:val="0"/>
          <w:numId w:val="5"/>
        </w:numPr>
      </w:pPr>
      <w:r w:rsidRPr="007406DD">
        <w:t>Enjoy working with people and optimising their wellbeing.</w:t>
      </w:r>
    </w:p>
    <w:p w14:paraId="209A1A33" w14:textId="77777777" w:rsidR="007406DD" w:rsidRDefault="007406DD"/>
    <w:p w14:paraId="7487ADE4" w14:textId="77777777" w:rsidR="007406DD" w:rsidRPr="007406DD" w:rsidRDefault="007406DD" w:rsidP="007406DD">
      <w:pPr>
        <w:pStyle w:val="Heading2"/>
        <w:rPr>
          <w:b/>
          <w:bCs/>
        </w:rPr>
      </w:pPr>
      <w:r w:rsidRPr="007406DD">
        <w:rPr>
          <w:b/>
          <w:bCs/>
        </w:rPr>
        <w:t xml:space="preserve">The role requires you to: </w:t>
      </w:r>
    </w:p>
    <w:p w14:paraId="1426E936" w14:textId="1C8D44DF" w:rsidR="007406DD" w:rsidRPr="007406DD" w:rsidRDefault="007406DD" w:rsidP="007406DD">
      <w:pPr>
        <w:numPr>
          <w:ilvl w:val="0"/>
          <w:numId w:val="6"/>
        </w:numPr>
      </w:pPr>
      <w:r w:rsidRPr="007406DD">
        <w:t xml:space="preserve">Act as a TEC contact point for your </w:t>
      </w:r>
      <w:r w:rsidR="009B05D7">
        <w:t>service area</w:t>
      </w:r>
      <w:r w:rsidRPr="007406DD">
        <w:t xml:space="preserve"> and drive forward discussions around TEC within </w:t>
      </w:r>
      <w:r w:rsidR="009B05D7">
        <w:t xml:space="preserve">service </w:t>
      </w:r>
      <w:r w:rsidRPr="007406DD">
        <w:t>meetings and other relevant sessions.</w:t>
      </w:r>
    </w:p>
    <w:p w14:paraId="33CD66F4" w14:textId="77777777" w:rsidR="007406DD" w:rsidRPr="007406DD" w:rsidRDefault="007406DD" w:rsidP="007406DD">
      <w:pPr>
        <w:numPr>
          <w:ilvl w:val="0"/>
          <w:numId w:val="6"/>
        </w:numPr>
      </w:pPr>
      <w:r w:rsidRPr="007406DD">
        <w:t>Provide advice and information on TEC to your team and wider.</w:t>
      </w:r>
    </w:p>
    <w:p w14:paraId="69F36A2B" w14:textId="77777777" w:rsidR="007406DD" w:rsidRPr="007406DD" w:rsidRDefault="007406DD" w:rsidP="007406DD">
      <w:pPr>
        <w:numPr>
          <w:ilvl w:val="0"/>
          <w:numId w:val="6"/>
        </w:numPr>
      </w:pPr>
      <w:r w:rsidRPr="007406DD">
        <w:t>Support and encourage team members to acknowledge/identify the potential of TEC to wholly or partly meet their people’s needs and outcomes and to make referrals where appropriate.</w:t>
      </w:r>
    </w:p>
    <w:p w14:paraId="3A3CD10F" w14:textId="77777777" w:rsidR="007406DD" w:rsidRPr="007406DD" w:rsidRDefault="007406DD" w:rsidP="007406DD">
      <w:pPr>
        <w:numPr>
          <w:ilvl w:val="0"/>
          <w:numId w:val="6"/>
        </w:numPr>
      </w:pPr>
      <w:r w:rsidRPr="007406DD">
        <w:t>Problem solve and share experiences and good practice.</w:t>
      </w:r>
    </w:p>
    <w:p w14:paraId="4A2CF355" w14:textId="567EA4E4" w:rsidR="007406DD" w:rsidRPr="007406DD" w:rsidRDefault="007406DD" w:rsidP="007406DD">
      <w:pPr>
        <w:numPr>
          <w:ilvl w:val="0"/>
          <w:numId w:val="6"/>
        </w:numPr>
      </w:pPr>
      <w:r w:rsidRPr="007406DD">
        <w:t>Develop case studies for sharing. (</w:t>
      </w:r>
      <w:proofErr w:type="gramStart"/>
      <w:r>
        <w:t>a</w:t>
      </w:r>
      <w:r w:rsidRPr="007406DD">
        <w:t>lso</w:t>
      </w:r>
      <w:proofErr w:type="gramEnd"/>
      <w:r w:rsidRPr="007406DD">
        <w:t xml:space="preserve"> as part of Quarterly Meetings)</w:t>
      </w:r>
    </w:p>
    <w:p w14:paraId="397FD746" w14:textId="77777777" w:rsidR="007406DD" w:rsidRPr="007406DD" w:rsidRDefault="007406DD" w:rsidP="007406DD">
      <w:pPr>
        <w:numPr>
          <w:ilvl w:val="0"/>
          <w:numId w:val="6"/>
        </w:numPr>
      </w:pPr>
      <w:r w:rsidRPr="007406DD">
        <w:t>Support Preview/testing new equipment, devices and service developments.</w:t>
      </w:r>
    </w:p>
    <w:p w14:paraId="787278A2" w14:textId="77777777" w:rsidR="007406DD" w:rsidRPr="007406DD" w:rsidRDefault="007406DD" w:rsidP="007406DD">
      <w:pPr>
        <w:numPr>
          <w:ilvl w:val="0"/>
          <w:numId w:val="6"/>
        </w:numPr>
      </w:pPr>
      <w:r w:rsidRPr="007406DD">
        <w:t>Support TEC staff induction and training.</w:t>
      </w:r>
    </w:p>
    <w:p w14:paraId="5A8AE7BF" w14:textId="77777777" w:rsidR="007406DD" w:rsidRPr="007406DD" w:rsidRDefault="007406DD" w:rsidP="007406DD">
      <w:pPr>
        <w:numPr>
          <w:ilvl w:val="0"/>
          <w:numId w:val="6"/>
        </w:numPr>
      </w:pPr>
      <w:r w:rsidRPr="007406DD">
        <w:t xml:space="preserve">Provide updates to team members regarding changes in TEC documentation, equipment availability and costs </w:t>
      </w:r>
    </w:p>
    <w:p w14:paraId="1DE95ED5" w14:textId="77777777" w:rsidR="007406DD" w:rsidRPr="007406DD" w:rsidRDefault="007406DD" w:rsidP="007406DD">
      <w:pPr>
        <w:numPr>
          <w:ilvl w:val="0"/>
          <w:numId w:val="6"/>
        </w:numPr>
      </w:pPr>
      <w:r w:rsidRPr="007406DD">
        <w:t>Provide feedback to the TEC team regarding issues/concerns from team members and/or ideas for service development and to increase referrals.</w:t>
      </w:r>
    </w:p>
    <w:p w14:paraId="1CE7E00E" w14:textId="77777777" w:rsidR="007406DD" w:rsidRPr="007406DD" w:rsidRDefault="007406DD" w:rsidP="007406DD">
      <w:pPr>
        <w:numPr>
          <w:ilvl w:val="0"/>
          <w:numId w:val="6"/>
        </w:numPr>
      </w:pPr>
      <w:r w:rsidRPr="007406DD">
        <w:t>Support Reference and Innovation groups (to be set-up with referrers; users of TEC; wider stakeholders; and service providers) to increase the use of existing technology and to develop new devices to optimise outcomes for people in agreed priority areas.</w:t>
      </w:r>
    </w:p>
    <w:p w14:paraId="2FAAD0D8" w14:textId="77777777" w:rsidR="007406DD" w:rsidRDefault="007406DD"/>
    <w:sectPr w:rsidR="007406DD" w:rsidSect="00740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E7C"/>
    <w:multiLevelType w:val="hybridMultilevel"/>
    <w:tmpl w:val="107E03BA"/>
    <w:lvl w:ilvl="0" w:tplc="59908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24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182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8D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7AA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8E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23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1C0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AF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996B42"/>
    <w:multiLevelType w:val="hybridMultilevel"/>
    <w:tmpl w:val="31CE031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D43D3C"/>
    <w:multiLevelType w:val="hybridMultilevel"/>
    <w:tmpl w:val="B8C4BB4C"/>
    <w:lvl w:ilvl="0" w:tplc="FF646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108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02F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0C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CA1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881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9A7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42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0C1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B4339C9"/>
    <w:multiLevelType w:val="hybridMultilevel"/>
    <w:tmpl w:val="1D9C6AE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EC25725"/>
    <w:multiLevelType w:val="hybridMultilevel"/>
    <w:tmpl w:val="3A98492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915B14"/>
    <w:multiLevelType w:val="hybridMultilevel"/>
    <w:tmpl w:val="BCA47AC4"/>
    <w:lvl w:ilvl="0" w:tplc="1BBC4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DE9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2B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9C5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669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40A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AE4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384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07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12234333">
    <w:abstractNumId w:val="0"/>
  </w:num>
  <w:num w:numId="2" w16cid:durableId="1470710738">
    <w:abstractNumId w:val="5"/>
  </w:num>
  <w:num w:numId="3" w16cid:durableId="1419672463">
    <w:abstractNumId w:val="2"/>
  </w:num>
  <w:num w:numId="4" w16cid:durableId="1663043544">
    <w:abstractNumId w:val="4"/>
  </w:num>
  <w:num w:numId="5" w16cid:durableId="160049601">
    <w:abstractNumId w:val="3"/>
  </w:num>
  <w:num w:numId="6" w16cid:durableId="336688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D9"/>
    <w:rsid w:val="000A2A27"/>
    <w:rsid w:val="0022091E"/>
    <w:rsid w:val="002515C8"/>
    <w:rsid w:val="002F4F42"/>
    <w:rsid w:val="00396851"/>
    <w:rsid w:val="003E197E"/>
    <w:rsid w:val="004129E4"/>
    <w:rsid w:val="00462369"/>
    <w:rsid w:val="00486B55"/>
    <w:rsid w:val="004A13D9"/>
    <w:rsid w:val="006D0D35"/>
    <w:rsid w:val="007406DD"/>
    <w:rsid w:val="007F0C09"/>
    <w:rsid w:val="008065E4"/>
    <w:rsid w:val="0094749A"/>
    <w:rsid w:val="009B05D7"/>
    <w:rsid w:val="009B6238"/>
    <w:rsid w:val="00A4459B"/>
    <w:rsid w:val="00B0313B"/>
    <w:rsid w:val="00B51C7F"/>
    <w:rsid w:val="00C40962"/>
    <w:rsid w:val="00D82C6D"/>
    <w:rsid w:val="00D83D1A"/>
    <w:rsid w:val="00E04537"/>
    <w:rsid w:val="00E611F3"/>
    <w:rsid w:val="00ED18AB"/>
    <w:rsid w:val="00F7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2613"/>
  <w15:chartTrackingRefBased/>
  <w15:docId w15:val="{9686386C-22E7-49CA-8CFE-93F0C585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1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1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1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1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2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1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B955EA209CE4F8B3E1755397FAB59" ma:contentTypeVersion="17" ma:contentTypeDescription="Create a new document." ma:contentTypeScope="" ma:versionID="12f4f8c2f0663d61fafc2e30e9d1e191">
  <xsd:schema xmlns:xsd="http://www.w3.org/2001/XMLSchema" xmlns:xs="http://www.w3.org/2001/XMLSchema" xmlns:p="http://schemas.microsoft.com/office/2006/metadata/properties" xmlns:ns3="48e1e22d-4ebd-4197-929e-2c122d703dcb" xmlns:ns4="ee1a50a5-2885-42ce-8c73-2c5ceeedd5b6" targetNamespace="http://schemas.microsoft.com/office/2006/metadata/properties" ma:root="true" ma:fieldsID="b041d873a43288c1d18ff772fbd1edb9" ns3:_="" ns4:_="">
    <xsd:import namespace="48e1e22d-4ebd-4197-929e-2c122d703dcb"/>
    <xsd:import namespace="ee1a50a5-2885-42ce-8c73-2c5ceeedd5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e22d-4ebd-4197-929e-2c122d703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a50a5-2885-42ce-8c73-2c5ceeedd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e1e22d-4ebd-4197-929e-2c122d703dc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5EA95-753A-48FB-B8A2-EC120D734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1e22d-4ebd-4197-929e-2c122d703dcb"/>
    <ds:schemaRef ds:uri="ee1a50a5-2885-42ce-8c73-2c5ceeedd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8ED2A-CEF6-4B4D-8A13-F81504F096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CE3609-5C12-4D1F-AFF7-855871557072}">
  <ds:schemaRefs>
    <ds:schemaRef ds:uri="http://schemas.microsoft.com/office/2006/metadata/properties"/>
    <ds:schemaRef ds:uri="http://schemas.microsoft.com/office/infopath/2007/PartnerControls"/>
    <ds:schemaRef ds:uri="48e1e22d-4ebd-4197-929e-2c122d703dcb"/>
  </ds:schemaRefs>
</ds:datastoreItem>
</file>

<file path=customXml/itemProps4.xml><?xml version="1.0" encoding="utf-8"?>
<ds:datastoreItem xmlns:ds="http://schemas.openxmlformats.org/officeDocument/2006/customXml" ds:itemID="{1A2884C6-3085-4865-BF2D-8B7FE283D1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Swinburn</dc:creator>
  <cp:keywords/>
  <dc:description/>
  <cp:lastModifiedBy>Paul Higginbottom</cp:lastModifiedBy>
  <cp:revision>2</cp:revision>
  <dcterms:created xsi:type="dcterms:W3CDTF">2025-07-24T13:27:00Z</dcterms:created>
  <dcterms:modified xsi:type="dcterms:W3CDTF">2025-07-24T13:27:00Z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2024-08-28T14:08:10Z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7d8d9e1c-544f-4ee8-98d2-9fa7f8716552</vt:lpwstr>
  </property>
  <property fmtid="{D5CDD505-2E9C-101B-9397-08002B2CF9AE}" pid="8" name="MSIP_Label_c8588358-c3f1-4695-a290-e2f70d15689d_ContentBits">
    <vt:lpwstr>0</vt:lpwstr>
  </property>
  <property fmtid="{D5CDD505-2E9C-101B-9397-08002B2CF9AE}" pid="9" name="ContentTypeId">
    <vt:lpwstr>0x01010073AB955EA209CE4F8B3E1755397FAB59</vt:lpwstr>
  </property>
</Properties>
</file>