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C176" w14:textId="77777777" w:rsidR="00AB0F4C" w:rsidRDefault="00AB0F4C" w:rsidP="00AB0F4C">
      <w:pPr>
        <w:pStyle w:val="Title"/>
        <w:rPr>
          <w:sz w:val="84"/>
          <w:szCs w:val="84"/>
        </w:rPr>
      </w:pPr>
    </w:p>
    <w:p w14:paraId="4F8B92B4" w14:textId="77777777" w:rsidR="00AB0F4C" w:rsidRDefault="00AB0F4C" w:rsidP="00AB0F4C">
      <w:pPr>
        <w:pStyle w:val="Title"/>
        <w:rPr>
          <w:sz w:val="84"/>
          <w:szCs w:val="84"/>
        </w:rPr>
      </w:pPr>
    </w:p>
    <w:p w14:paraId="51417AF5" w14:textId="77777777" w:rsidR="00AB0F4C" w:rsidRDefault="00AB0F4C" w:rsidP="00AB0F4C">
      <w:pPr>
        <w:pStyle w:val="Title"/>
        <w:rPr>
          <w:sz w:val="84"/>
          <w:szCs w:val="84"/>
        </w:rPr>
      </w:pPr>
    </w:p>
    <w:p w14:paraId="6425D165" w14:textId="3BB92669" w:rsidR="00AB0F4C" w:rsidRDefault="00AB0F4C" w:rsidP="00AB0F4C">
      <w:pPr>
        <w:pStyle w:val="Title"/>
        <w:rPr>
          <w:sz w:val="84"/>
          <w:szCs w:val="84"/>
        </w:rPr>
      </w:pPr>
      <w:r w:rsidRPr="660839EF">
        <w:rPr>
          <w:sz w:val="84"/>
          <w:szCs w:val="84"/>
        </w:rPr>
        <w:t xml:space="preserve">Sheffield Sexual Violence Needs Assessment </w:t>
      </w:r>
      <w:r w:rsidR="1F2A1EED" w:rsidRPr="660839EF">
        <w:rPr>
          <w:sz w:val="84"/>
          <w:szCs w:val="84"/>
        </w:rPr>
        <w:t>2024</w:t>
      </w:r>
    </w:p>
    <w:p w14:paraId="7FA7BA0B" w14:textId="77777777" w:rsidR="00AB0F4C" w:rsidRDefault="00AB0F4C" w:rsidP="00AB0F4C"/>
    <w:p w14:paraId="535D4569" w14:textId="77777777" w:rsidR="00AB0F4C" w:rsidRDefault="00AB0F4C" w:rsidP="00AB0F4C"/>
    <w:p w14:paraId="0117DE1B" w14:textId="77777777" w:rsidR="00AB0F4C" w:rsidRDefault="00AB0F4C" w:rsidP="00AB0F4C"/>
    <w:p w14:paraId="0A1348B9" w14:textId="77777777" w:rsidR="00AB0F4C" w:rsidRDefault="00AB0F4C" w:rsidP="00AB0F4C"/>
    <w:p w14:paraId="53C9DA99" w14:textId="77777777" w:rsidR="00AB0F4C" w:rsidRDefault="00AB0F4C" w:rsidP="00AB0F4C"/>
    <w:p w14:paraId="3D469819" w14:textId="77777777" w:rsidR="00AB0F4C" w:rsidRDefault="00AB0F4C" w:rsidP="00AB0F4C"/>
    <w:p w14:paraId="064DBA5E" w14:textId="77777777" w:rsidR="00AB0F4C" w:rsidRDefault="00AB0F4C" w:rsidP="00AB0F4C"/>
    <w:p w14:paraId="06D89447" w14:textId="77777777" w:rsidR="00AB0F4C" w:rsidRDefault="00AB0F4C" w:rsidP="00AB0F4C"/>
    <w:p w14:paraId="1BAC2DA7" w14:textId="77777777" w:rsidR="00AB0F4C" w:rsidRDefault="00AB0F4C" w:rsidP="00AB0F4C"/>
    <w:p w14:paraId="7F4C1BC3" w14:textId="77777777" w:rsidR="00AB0F4C" w:rsidRDefault="00AB0F4C" w:rsidP="00AB0F4C"/>
    <w:p w14:paraId="028342AA" w14:textId="77777777" w:rsidR="00AB0F4C" w:rsidRDefault="00AB0F4C" w:rsidP="00AB0F4C"/>
    <w:p w14:paraId="426ACEF6" w14:textId="77777777" w:rsidR="00AB0F4C" w:rsidRDefault="00AB0F4C" w:rsidP="00AB0F4C"/>
    <w:p w14:paraId="0F6800A6" w14:textId="77777777" w:rsidR="00AB0F4C" w:rsidRDefault="00AB0F4C" w:rsidP="00AB0F4C"/>
    <w:p w14:paraId="6D3F8655" w14:textId="77777777" w:rsidR="00AB0F4C" w:rsidRDefault="00AB0F4C" w:rsidP="00AB0F4C"/>
    <w:p w14:paraId="3945B024" w14:textId="37EC6B95" w:rsidR="00AB0F4C" w:rsidRDefault="00AB0F4C" w:rsidP="2AEF0F6D"/>
    <w:p w14:paraId="5F0AF1CB" w14:textId="2E179D6F" w:rsidR="00AB0F4C" w:rsidRDefault="364291D7" w:rsidP="2AEF0F6D">
      <w:r>
        <w:rPr>
          <w:noProof/>
        </w:rPr>
        <w:drawing>
          <wp:inline distT="0" distB="0" distL="0" distR="0" wp14:anchorId="1F22426B" wp14:editId="59344093">
            <wp:extent cx="1377816" cy="1085182"/>
            <wp:effectExtent l="0" t="0" r="0" b="1270"/>
            <wp:docPr id="844843534" name="Picture 844843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43534" name="Picture 84484353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377816" cy="1085182"/>
                    </a:xfrm>
                    <a:prstGeom prst="rect">
                      <a:avLst/>
                    </a:prstGeom>
                  </pic:spPr>
                </pic:pic>
              </a:graphicData>
            </a:graphic>
          </wp:inline>
        </w:drawing>
      </w:r>
      <w:r>
        <w:rPr>
          <w:noProof/>
        </w:rPr>
        <w:drawing>
          <wp:inline distT="0" distB="0" distL="0" distR="0" wp14:anchorId="2AF92CA0" wp14:editId="02D56D9F">
            <wp:extent cx="1292464" cy="1201016"/>
            <wp:effectExtent l="0" t="0" r="3175" b="0"/>
            <wp:docPr id="986646412" name="Picture 986646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46412" name="Picture 98664641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292464" cy="1201016"/>
                    </a:xfrm>
                    <a:prstGeom prst="rect">
                      <a:avLst/>
                    </a:prstGeom>
                  </pic:spPr>
                </pic:pic>
              </a:graphicData>
            </a:graphic>
          </wp:inline>
        </w:drawing>
      </w:r>
    </w:p>
    <w:p w14:paraId="6BDC50C9" w14:textId="77777777" w:rsidR="00AB0F4C" w:rsidRDefault="00AB0F4C" w:rsidP="00AB0F4C"/>
    <w:p w14:paraId="0A1106CD" w14:textId="77777777" w:rsidR="00AB0F4C" w:rsidRDefault="00AB0F4C" w:rsidP="00AB0F4C"/>
    <w:p w14:paraId="20C9053A" w14:textId="6570C25C" w:rsidR="00617EEE" w:rsidRDefault="00CC0C5E" w:rsidP="00617EEE">
      <w:pPr>
        <w:pStyle w:val="Heading1"/>
      </w:pPr>
      <w:r>
        <w:t>Contents</w:t>
      </w:r>
      <w:r w:rsidR="00617EEE">
        <w:t>:</w:t>
      </w:r>
    </w:p>
    <w:p w14:paraId="6DAF5DBE" w14:textId="77777777" w:rsidR="00BA1BDB" w:rsidRDefault="00BA1BDB" w:rsidP="00BA1BDB">
      <w:pPr>
        <w:pStyle w:val="Heading8"/>
      </w:pPr>
    </w:p>
    <w:p w14:paraId="14D9A6CE" w14:textId="61AEA972" w:rsidR="008357A5" w:rsidRPr="008357A5" w:rsidRDefault="008357A5" w:rsidP="00B67805">
      <w:pPr>
        <w:pStyle w:val="ListParagraph"/>
        <w:numPr>
          <w:ilvl w:val="0"/>
          <w:numId w:val="19"/>
        </w:numPr>
        <w:rPr>
          <w:b/>
          <w:bCs/>
        </w:rPr>
      </w:pPr>
      <w:r>
        <w:rPr>
          <w:b/>
          <w:bCs/>
        </w:rPr>
        <w:t>R</w:t>
      </w:r>
      <w:r w:rsidR="002134C7">
        <w:rPr>
          <w:b/>
          <w:bCs/>
        </w:rPr>
        <w:t>ape and serious sexual offences</w:t>
      </w:r>
      <w:r>
        <w:rPr>
          <w:b/>
          <w:bCs/>
        </w:rPr>
        <w:t xml:space="preserve"> </w:t>
      </w:r>
    </w:p>
    <w:p w14:paraId="4C5C6D62" w14:textId="77777777" w:rsidR="008357A5" w:rsidRPr="008357A5" w:rsidRDefault="008357A5" w:rsidP="00B67805">
      <w:pPr>
        <w:pStyle w:val="ListParagraph"/>
        <w:numPr>
          <w:ilvl w:val="0"/>
          <w:numId w:val="19"/>
        </w:numPr>
      </w:pPr>
      <w:r>
        <w:rPr>
          <w:b/>
          <w:bCs/>
        </w:rPr>
        <w:t>Sexual Harassment</w:t>
      </w:r>
    </w:p>
    <w:p w14:paraId="36E0BBEB" w14:textId="58FB7491" w:rsidR="00DC1C7A" w:rsidRPr="00910E7B" w:rsidRDefault="60AF0142" w:rsidP="2AEF0F6D">
      <w:pPr>
        <w:pStyle w:val="ListParagraph"/>
        <w:numPr>
          <w:ilvl w:val="0"/>
          <w:numId w:val="19"/>
        </w:numPr>
        <w:rPr>
          <w:b/>
          <w:bCs/>
        </w:rPr>
      </w:pPr>
      <w:r w:rsidRPr="2AEF0F6D">
        <w:rPr>
          <w:b/>
          <w:bCs/>
        </w:rPr>
        <w:t xml:space="preserve">Other </w:t>
      </w:r>
      <w:r w:rsidR="5B06ED05" w:rsidRPr="2AEF0F6D">
        <w:rPr>
          <w:b/>
          <w:bCs/>
        </w:rPr>
        <w:t>VAWG related offences</w:t>
      </w:r>
      <w:r w:rsidR="09C4AA27" w:rsidRPr="2AEF0F6D">
        <w:rPr>
          <w:b/>
          <w:bCs/>
        </w:rPr>
        <w:t xml:space="preserve"> </w:t>
      </w:r>
      <w:r w:rsidR="530E3DD1" w:rsidRPr="2AEF0F6D">
        <w:rPr>
          <w:b/>
          <w:bCs/>
        </w:rPr>
        <w:t>in scope of the strategy</w:t>
      </w:r>
    </w:p>
    <w:p w14:paraId="68BA0500" w14:textId="030B301A" w:rsidR="01BCF0B0" w:rsidRDefault="01BCF0B0" w:rsidP="2AEF0F6D">
      <w:pPr>
        <w:pStyle w:val="ListParagraph"/>
        <w:numPr>
          <w:ilvl w:val="0"/>
          <w:numId w:val="19"/>
        </w:numPr>
        <w:rPr>
          <w:b/>
          <w:bCs/>
        </w:rPr>
      </w:pPr>
      <w:r w:rsidRPr="2AEF0F6D">
        <w:rPr>
          <w:b/>
          <w:bCs/>
        </w:rPr>
        <w:t>Recommendations from this needs assessment</w:t>
      </w:r>
    </w:p>
    <w:p w14:paraId="1872CE2E" w14:textId="2D749588" w:rsidR="2AEF0F6D" w:rsidRDefault="2AEF0F6D" w:rsidP="2AEF0F6D">
      <w:pPr>
        <w:pStyle w:val="ListParagraph"/>
        <w:ind w:left="1080"/>
        <w:rPr>
          <w:b/>
          <w:bCs/>
        </w:rPr>
      </w:pPr>
    </w:p>
    <w:p w14:paraId="2A4F685F" w14:textId="77777777" w:rsidR="002134C7" w:rsidRDefault="002134C7" w:rsidP="002134C7">
      <w:pPr>
        <w:pStyle w:val="ListParagraph"/>
        <w:ind w:left="1800"/>
      </w:pPr>
    </w:p>
    <w:p w14:paraId="673126DC" w14:textId="77777777" w:rsidR="003B1617" w:rsidRDefault="003B1617">
      <w:pPr>
        <w:rPr>
          <w:rFonts w:asciiTheme="majorHAnsi" w:eastAsiaTheme="majorEastAsia" w:hAnsiTheme="majorHAnsi" w:cstheme="majorBidi"/>
          <w:color w:val="2F5496" w:themeColor="accent1" w:themeShade="BF"/>
          <w:sz w:val="32"/>
          <w:szCs w:val="32"/>
        </w:rPr>
      </w:pPr>
      <w:r>
        <w:br w:type="page"/>
      </w:r>
    </w:p>
    <w:p w14:paraId="5CEE7DB9" w14:textId="235F0C0D" w:rsidR="00781409" w:rsidRPr="007C41F7" w:rsidRDefault="00781409" w:rsidP="007C41F7">
      <w:pPr>
        <w:pStyle w:val="Heading1"/>
      </w:pPr>
      <w:r w:rsidRPr="007C41F7">
        <w:lastRenderedPageBreak/>
        <w:t>Introduction:</w:t>
      </w:r>
    </w:p>
    <w:p w14:paraId="0A50747F" w14:textId="02A41E1F" w:rsidR="001C5D30" w:rsidRDefault="00781409" w:rsidP="001C5D30">
      <w:pPr>
        <w:jc w:val="both"/>
      </w:pPr>
      <w:r>
        <w:t xml:space="preserve">This needs assessment attempts to collate a better understanding of sexual violence to inform the development of a new VAWG strategy for Sheffield. </w:t>
      </w:r>
      <w:r w:rsidR="008011E7">
        <w:t>Gathering good d</w:t>
      </w:r>
      <w:r w:rsidR="00D91AB2">
        <w:t>ata</w:t>
      </w:r>
      <w:r w:rsidR="00FF39B2">
        <w:t xml:space="preserve"> and useful insights</w:t>
      </w:r>
      <w:r w:rsidR="00D91AB2">
        <w:t xml:space="preserve"> around sexual violence in all its forms is </w:t>
      </w:r>
      <w:r w:rsidR="008011E7">
        <w:t xml:space="preserve">a complex issue for several reasons including </w:t>
      </w:r>
      <w:r w:rsidR="00CF10CF">
        <w:t xml:space="preserve">methodological constraints, data </w:t>
      </w:r>
      <w:r w:rsidR="00FF39B2">
        <w:t>recording variation</w:t>
      </w:r>
      <w:r w:rsidR="00CF10CF">
        <w:t xml:space="preserve"> </w:t>
      </w:r>
      <w:r w:rsidR="001C5D30">
        <w:t>and data transparency</w:t>
      </w:r>
      <w:r w:rsidR="00FF39B2">
        <w:t>/</w:t>
      </w:r>
      <w:r w:rsidR="001C5D30">
        <w:t xml:space="preserve">sensitivity. </w:t>
      </w:r>
    </w:p>
    <w:p w14:paraId="5ED3F074" w14:textId="6FD5DA67" w:rsidR="00FF39B2" w:rsidRDefault="00FF39B2" w:rsidP="001C5D30">
      <w:pPr>
        <w:jc w:val="both"/>
      </w:pPr>
      <w:r>
        <w:t xml:space="preserve">An overarching theme arising from this work is the need for </w:t>
      </w:r>
      <w:r w:rsidR="007D68D5">
        <w:t>a more comprehensive</w:t>
      </w:r>
      <w:r w:rsidR="00FC3AD7">
        <w:t xml:space="preserve"> and nuanced</w:t>
      </w:r>
      <w:r w:rsidR="007D68D5">
        <w:t xml:space="preserve"> regional and local understanding of sexual violence. </w:t>
      </w:r>
    </w:p>
    <w:p w14:paraId="7A2881EC" w14:textId="2770ACB3" w:rsidR="00FC3AD7" w:rsidRPr="007C41F7" w:rsidRDefault="2091BD18" w:rsidP="5BE6DD8F">
      <w:pPr>
        <w:rPr>
          <w:b/>
          <w:bCs/>
        </w:rPr>
      </w:pPr>
      <w:r w:rsidRPr="007C41F7">
        <w:rPr>
          <w:b/>
          <w:bCs/>
        </w:rPr>
        <w:t xml:space="preserve">Recommendation: To utilise this </w:t>
      </w:r>
      <w:r w:rsidR="62E6F3AD" w:rsidRPr="007C41F7">
        <w:rPr>
          <w:b/>
          <w:bCs/>
        </w:rPr>
        <w:t xml:space="preserve">needs assessment </w:t>
      </w:r>
      <w:r w:rsidRPr="007C41F7">
        <w:rPr>
          <w:b/>
          <w:bCs/>
        </w:rPr>
        <w:t xml:space="preserve">to work regionally with partners to explore the regional picture of sexual violence and identify new and existing avenues for change. </w:t>
      </w:r>
    </w:p>
    <w:p w14:paraId="6297048E" w14:textId="1F9F5D53" w:rsidR="007D68D5" w:rsidRPr="007C41F7" w:rsidRDefault="00FC3AD7" w:rsidP="5BE6DD8F">
      <w:pPr>
        <w:jc w:val="both"/>
        <w:rPr>
          <w:rFonts w:ascii="Calibri" w:hAnsi="Calibri" w:cs="Calibri"/>
          <w:b/>
          <w:bCs/>
        </w:rPr>
      </w:pPr>
      <w:r w:rsidRPr="007C41F7">
        <w:rPr>
          <w:rFonts w:ascii="Calibri" w:hAnsi="Calibri" w:cs="Calibri"/>
          <w:b/>
          <w:bCs/>
        </w:rPr>
        <w:t xml:space="preserve">Recommendation: To </w:t>
      </w:r>
      <w:r w:rsidR="0016673C" w:rsidRPr="007C41F7">
        <w:rPr>
          <w:rFonts w:ascii="Calibri" w:hAnsi="Calibri" w:cs="Calibri"/>
          <w:b/>
          <w:bCs/>
        </w:rPr>
        <w:t>further evaluate</w:t>
      </w:r>
      <w:r w:rsidRPr="007C41F7">
        <w:rPr>
          <w:rFonts w:ascii="Calibri" w:hAnsi="Calibri" w:cs="Calibri"/>
          <w:b/>
          <w:bCs/>
        </w:rPr>
        <w:t xml:space="preserve"> how intersectionality is considered in the data gathered and workplans in this area and across the wider strategy, including via the DA/SA Anti-Racism Group.</w:t>
      </w:r>
    </w:p>
    <w:p w14:paraId="272046B6" w14:textId="77777777" w:rsidR="00444391" w:rsidRDefault="00444391" w:rsidP="5BE6DD8F">
      <w:pPr>
        <w:rPr>
          <w:rFonts w:asciiTheme="majorHAnsi" w:eastAsiaTheme="majorEastAsia" w:hAnsiTheme="majorHAnsi" w:cstheme="majorBidi"/>
          <w:color w:val="2F5496" w:themeColor="accent1" w:themeShade="BF"/>
          <w:sz w:val="32"/>
          <w:szCs w:val="32"/>
        </w:rPr>
      </w:pPr>
      <w:r>
        <w:br w:type="page"/>
      </w:r>
    </w:p>
    <w:p w14:paraId="7C1D0C74" w14:textId="72BE4CCB" w:rsidR="007D4373" w:rsidRPr="007D4373" w:rsidRDefault="007D4373" w:rsidP="007D4373">
      <w:pPr>
        <w:pStyle w:val="Heading1"/>
      </w:pPr>
      <w:r>
        <w:t xml:space="preserve">Understanding the scale and nature of </w:t>
      </w:r>
      <w:r w:rsidR="008B6B61">
        <w:t>rape and serious sexual offences (</w:t>
      </w:r>
      <w:r w:rsidR="009E13DB">
        <w:t>RASSO</w:t>
      </w:r>
      <w:r w:rsidR="008B6B61">
        <w:t>)</w:t>
      </w:r>
      <w:r>
        <w:t xml:space="preserve"> in the UK and Sheffield</w:t>
      </w:r>
    </w:p>
    <w:p w14:paraId="41655543" w14:textId="77777777" w:rsidR="008B6B61" w:rsidRPr="007C41F7" w:rsidRDefault="008B6B61" w:rsidP="00CC1B1D">
      <w:pPr>
        <w:rPr>
          <w:b/>
          <w:bCs/>
        </w:rPr>
      </w:pPr>
    </w:p>
    <w:p w14:paraId="57DDF282" w14:textId="67B9AB04" w:rsidR="007D4373" w:rsidRPr="007C41F7" w:rsidRDefault="007D4373" w:rsidP="007C41F7">
      <w:pPr>
        <w:pStyle w:val="Style2"/>
        <w:rPr>
          <w:rStyle w:val="Strong"/>
          <w:b/>
          <w:bCs/>
        </w:rPr>
      </w:pPr>
      <w:r w:rsidRPr="007C41F7">
        <w:rPr>
          <w:rStyle w:val="Strong"/>
          <w:b/>
          <w:bCs/>
        </w:rPr>
        <w:t>What do</w:t>
      </w:r>
      <w:r w:rsidR="005805AE" w:rsidRPr="007C41F7">
        <w:rPr>
          <w:rStyle w:val="Strong"/>
          <w:b/>
          <w:bCs/>
        </w:rPr>
        <w:t xml:space="preserve"> we know about prevalence</w:t>
      </w:r>
      <w:r w:rsidRPr="007C41F7">
        <w:rPr>
          <w:rStyle w:val="Strong"/>
          <w:b/>
          <w:bCs/>
        </w:rPr>
        <w:t>?</w:t>
      </w:r>
    </w:p>
    <w:p w14:paraId="70D4ECE1" w14:textId="29BE1DAB" w:rsidR="00557B3B" w:rsidRPr="007D4373" w:rsidRDefault="00C56F22" w:rsidP="007D4373">
      <w:pPr>
        <w:pStyle w:val="Heading4"/>
      </w:pPr>
      <w:r>
        <w:t>National d</w:t>
      </w:r>
      <w:r w:rsidR="005A49E4">
        <w:t>ata from the Crime Survey for England and Wales</w:t>
      </w:r>
      <w:r w:rsidR="00FD0D04">
        <w:t xml:space="preserve"> (C</w:t>
      </w:r>
      <w:r w:rsidR="002E6395">
        <w:t>SEW</w:t>
      </w:r>
      <w:r w:rsidR="00C96CCB">
        <w:t>)</w:t>
      </w:r>
      <w:r w:rsidR="008633FE">
        <w:t xml:space="preserve">: </w:t>
      </w:r>
    </w:p>
    <w:p w14:paraId="0C7668B6" w14:textId="77777777" w:rsidR="008633FE" w:rsidRDefault="008633FE" w:rsidP="00557B3B">
      <w:pPr>
        <w:pStyle w:val="Heading4"/>
      </w:pPr>
    </w:p>
    <w:p w14:paraId="10E2EF09" w14:textId="3F067701" w:rsidR="006A26F2" w:rsidRPr="006A26F2" w:rsidRDefault="006A26F2" w:rsidP="006A26F2">
      <w:r>
        <w:t xml:space="preserve">Using </w:t>
      </w:r>
      <w:r w:rsidR="00BD42F6">
        <w:t xml:space="preserve">estimate </w:t>
      </w:r>
      <w:r>
        <w:t xml:space="preserve">data from the Crime Survey of England and Wales (CSEW) </w:t>
      </w:r>
      <w:r w:rsidR="00BD42F6">
        <w:t>shown</w:t>
      </w:r>
      <w:r w:rsidR="009433C8">
        <w:t xml:space="preserve"> in Table 1</w:t>
      </w:r>
      <w:r w:rsidR="00BD42F6">
        <w:t xml:space="preserve"> </w:t>
      </w:r>
      <w:r w:rsidR="009433C8">
        <w:t>and details of</w:t>
      </w:r>
      <w:r w:rsidR="00CC1B1D">
        <w:t xml:space="preserve"> the</w:t>
      </w:r>
      <w:r w:rsidR="009433C8">
        <w:t xml:space="preserve"> Sheffield population, shown in Table</w:t>
      </w:r>
      <w:r w:rsidR="00CC1B1D">
        <w:t xml:space="preserve"> 2, to create estimates for Sheffield, Table 3.</w:t>
      </w:r>
    </w:p>
    <w:p w14:paraId="4294E733" w14:textId="77777777" w:rsidR="00F247CE" w:rsidRDefault="00F247CE" w:rsidP="00557B3B">
      <w:pPr>
        <w:pStyle w:val="Heading4"/>
        <w:rPr>
          <w:b/>
          <w:bCs/>
        </w:rPr>
      </w:pPr>
    </w:p>
    <w:tbl>
      <w:tblPr>
        <w:tblStyle w:val="TableGrid"/>
        <w:tblW w:w="8962" w:type="dxa"/>
        <w:tblInd w:w="108" w:type="dxa"/>
        <w:shd w:val="clear" w:color="auto" w:fill="FFFFFF" w:themeFill="background1"/>
        <w:tblLook w:val="04A0" w:firstRow="1" w:lastRow="0" w:firstColumn="1" w:lastColumn="0" w:noHBand="0" w:noVBand="1"/>
      </w:tblPr>
      <w:tblGrid>
        <w:gridCol w:w="3033"/>
        <w:gridCol w:w="992"/>
        <w:gridCol w:w="992"/>
        <w:gridCol w:w="993"/>
        <w:gridCol w:w="992"/>
        <w:gridCol w:w="992"/>
        <w:gridCol w:w="968"/>
      </w:tblGrid>
      <w:tr w:rsidR="0021157D" w:rsidRPr="007C41F7" w14:paraId="1601A13A" w14:textId="77777777" w:rsidTr="00591701">
        <w:trPr>
          <w:trHeight w:val="394"/>
        </w:trPr>
        <w:tc>
          <w:tcPr>
            <w:tcW w:w="3033" w:type="dxa"/>
            <w:vMerge w:val="restart"/>
            <w:shd w:val="clear" w:color="auto" w:fill="FFFFFF" w:themeFill="background1"/>
          </w:tcPr>
          <w:p w14:paraId="0CCBB4C5" w14:textId="77777777" w:rsidR="0021157D" w:rsidRPr="007C41F7" w:rsidRDefault="0021157D" w:rsidP="00236715">
            <w:pPr>
              <w:jc w:val="center"/>
              <w:rPr>
                <w:b/>
                <w:bCs/>
              </w:rPr>
            </w:pPr>
            <w:bookmarkStart w:id="0" w:name="_Hlk177475925"/>
            <w:r w:rsidRPr="007C41F7">
              <w:rPr>
                <w:b/>
                <w:bCs/>
              </w:rPr>
              <w:t>National Estimate</w:t>
            </w:r>
          </w:p>
        </w:tc>
        <w:tc>
          <w:tcPr>
            <w:tcW w:w="2977" w:type="dxa"/>
            <w:gridSpan w:val="3"/>
            <w:shd w:val="clear" w:color="auto" w:fill="FFFFFF" w:themeFill="background1"/>
          </w:tcPr>
          <w:p w14:paraId="7DE29D57" w14:textId="77777777" w:rsidR="0021157D" w:rsidRPr="007C41F7" w:rsidRDefault="0021157D" w:rsidP="00236715">
            <w:pPr>
              <w:jc w:val="center"/>
              <w:rPr>
                <w:b/>
                <w:bCs/>
              </w:rPr>
            </w:pPr>
            <w:r w:rsidRPr="007C41F7">
              <w:rPr>
                <w:b/>
                <w:bCs/>
              </w:rPr>
              <w:t>In the last year (%)</w:t>
            </w:r>
          </w:p>
        </w:tc>
        <w:tc>
          <w:tcPr>
            <w:tcW w:w="2952" w:type="dxa"/>
            <w:gridSpan w:val="3"/>
            <w:shd w:val="clear" w:color="auto" w:fill="FFFFFF" w:themeFill="background1"/>
          </w:tcPr>
          <w:p w14:paraId="79BB0026" w14:textId="77777777" w:rsidR="0021157D" w:rsidRPr="007C41F7" w:rsidRDefault="0021157D" w:rsidP="00236715">
            <w:pPr>
              <w:jc w:val="center"/>
              <w:rPr>
                <w:b/>
                <w:bCs/>
              </w:rPr>
            </w:pPr>
            <w:r w:rsidRPr="007C41F7">
              <w:rPr>
                <w:b/>
                <w:bCs/>
              </w:rPr>
              <w:t>Since the age of 16 (%)</w:t>
            </w:r>
          </w:p>
        </w:tc>
      </w:tr>
      <w:tr w:rsidR="0021157D" w:rsidRPr="00C903B7" w14:paraId="3C0C6BC8" w14:textId="77777777" w:rsidTr="00591701">
        <w:tc>
          <w:tcPr>
            <w:tcW w:w="3033" w:type="dxa"/>
            <w:vMerge/>
          </w:tcPr>
          <w:p w14:paraId="5792E571" w14:textId="47E204E6" w:rsidR="0021157D" w:rsidRPr="00C903B7" w:rsidRDefault="0021157D" w:rsidP="00236715">
            <w:pPr>
              <w:rPr>
                <w:sz w:val="20"/>
                <w:szCs w:val="20"/>
              </w:rPr>
            </w:pPr>
          </w:p>
        </w:tc>
        <w:tc>
          <w:tcPr>
            <w:tcW w:w="992" w:type="dxa"/>
            <w:shd w:val="clear" w:color="auto" w:fill="FFFFFF" w:themeFill="background1"/>
          </w:tcPr>
          <w:p w14:paraId="397902CF" w14:textId="77777777" w:rsidR="0021157D" w:rsidRPr="00C903B7" w:rsidRDefault="0021157D" w:rsidP="00236715">
            <w:pPr>
              <w:jc w:val="center"/>
              <w:rPr>
                <w:sz w:val="20"/>
                <w:szCs w:val="20"/>
              </w:rPr>
            </w:pPr>
            <w:r w:rsidRPr="5BE6DD8F">
              <w:rPr>
                <w:sz w:val="20"/>
                <w:szCs w:val="20"/>
              </w:rPr>
              <w:t>Men</w:t>
            </w:r>
          </w:p>
        </w:tc>
        <w:tc>
          <w:tcPr>
            <w:tcW w:w="992" w:type="dxa"/>
            <w:shd w:val="clear" w:color="auto" w:fill="FFFFFF" w:themeFill="background1"/>
          </w:tcPr>
          <w:p w14:paraId="726D821C" w14:textId="77777777" w:rsidR="0021157D" w:rsidRPr="00C903B7" w:rsidRDefault="0021157D" w:rsidP="00236715">
            <w:pPr>
              <w:jc w:val="center"/>
              <w:rPr>
                <w:sz w:val="20"/>
                <w:szCs w:val="20"/>
              </w:rPr>
            </w:pPr>
            <w:r w:rsidRPr="5BE6DD8F">
              <w:rPr>
                <w:sz w:val="20"/>
                <w:szCs w:val="20"/>
              </w:rPr>
              <w:t>Women</w:t>
            </w:r>
          </w:p>
        </w:tc>
        <w:tc>
          <w:tcPr>
            <w:tcW w:w="993" w:type="dxa"/>
            <w:shd w:val="clear" w:color="auto" w:fill="FFFFFF" w:themeFill="background1"/>
          </w:tcPr>
          <w:p w14:paraId="6E254DE0" w14:textId="77777777" w:rsidR="0021157D" w:rsidRPr="00291091" w:rsidRDefault="0021157D" w:rsidP="00236715">
            <w:pPr>
              <w:jc w:val="center"/>
              <w:rPr>
                <w:b/>
                <w:bCs/>
                <w:sz w:val="20"/>
                <w:szCs w:val="20"/>
              </w:rPr>
            </w:pPr>
            <w:r w:rsidRPr="5BE6DD8F">
              <w:rPr>
                <w:b/>
                <w:bCs/>
                <w:sz w:val="20"/>
                <w:szCs w:val="20"/>
              </w:rPr>
              <w:t>All</w:t>
            </w:r>
          </w:p>
        </w:tc>
        <w:tc>
          <w:tcPr>
            <w:tcW w:w="992" w:type="dxa"/>
            <w:shd w:val="clear" w:color="auto" w:fill="FFFFFF" w:themeFill="background1"/>
          </w:tcPr>
          <w:p w14:paraId="2829852F" w14:textId="77777777" w:rsidR="0021157D" w:rsidRPr="00C903B7" w:rsidRDefault="0021157D" w:rsidP="00236715">
            <w:pPr>
              <w:jc w:val="center"/>
              <w:rPr>
                <w:sz w:val="20"/>
                <w:szCs w:val="20"/>
              </w:rPr>
            </w:pPr>
            <w:r w:rsidRPr="5BE6DD8F">
              <w:rPr>
                <w:sz w:val="20"/>
                <w:szCs w:val="20"/>
              </w:rPr>
              <w:t>Men</w:t>
            </w:r>
          </w:p>
        </w:tc>
        <w:tc>
          <w:tcPr>
            <w:tcW w:w="992" w:type="dxa"/>
            <w:shd w:val="clear" w:color="auto" w:fill="FFFFFF" w:themeFill="background1"/>
          </w:tcPr>
          <w:p w14:paraId="5BE72AD3" w14:textId="77777777" w:rsidR="0021157D" w:rsidRPr="00C903B7" w:rsidRDefault="0021157D" w:rsidP="00236715">
            <w:pPr>
              <w:jc w:val="center"/>
              <w:rPr>
                <w:sz w:val="20"/>
                <w:szCs w:val="20"/>
              </w:rPr>
            </w:pPr>
            <w:r w:rsidRPr="5BE6DD8F">
              <w:rPr>
                <w:sz w:val="20"/>
                <w:szCs w:val="20"/>
              </w:rPr>
              <w:t>Women</w:t>
            </w:r>
          </w:p>
        </w:tc>
        <w:tc>
          <w:tcPr>
            <w:tcW w:w="968" w:type="dxa"/>
            <w:shd w:val="clear" w:color="auto" w:fill="FFFFFF" w:themeFill="background1"/>
          </w:tcPr>
          <w:p w14:paraId="4E62B6D2" w14:textId="77777777" w:rsidR="0021157D" w:rsidRPr="00291091" w:rsidRDefault="0021157D" w:rsidP="00236715">
            <w:pPr>
              <w:jc w:val="center"/>
              <w:rPr>
                <w:b/>
                <w:bCs/>
                <w:sz w:val="20"/>
                <w:szCs w:val="20"/>
              </w:rPr>
            </w:pPr>
            <w:r w:rsidRPr="5BE6DD8F">
              <w:rPr>
                <w:b/>
                <w:bCs/>
                <w:sz w:val="20"/>
                <w:szCs w:val="20"/>
              </w:rPr>
              <w:t>All</w:t>
            </w:r>
          </w:p>
        </w:tc>
      </w:tr>
      <w:tr w:rsidR="00F247CE" w:rsidRPr="00C903B7" w14:paraId="53E93F4B" w14:textId="77777777" w:rsidTr="007C41F7">
        <w:trPr>
          <w:trHeight w:val="758"/>
        </w:trPr>
        <w:tc>
          <w:tcPr>
            <w:tcW w:w="3033" w:type="dxa"/>
            <w:tcBorders>
              <w:top w:val="single" w:sz="4" w:space="0" w:color="FFFFFF" w:themeColor="background1"/>
            </w:tcBorders>
            <w:shd w:val="clear" w:color="auto" w:fill="F2F2F2" w:themeFill="background1" w:themeFillShade="F2"/>
          </w:tcPr>
          <w:p w14:paraId="438FBB29" w14:textId="36EB83E1" w:rsidR="00F247CE" w:rsidRPr="00337B00" w:rsidRDefault="00F247CE" w:rsidP="00F247CE">
            <w:pPr>
              <w:jc w:val="right"/>
              <w:rPr>
                <w:b/>
                <w:bCs/>
                <w:sz w:val="20"/>
                <w:szCs w:val="20"/>
              </w:rPr>
            </w:pPr>
            <w:r w:rsidRPr="5BE6DD8F">
              <w:rPr>
                <w:b/>
                <w:bCs/>
                <w:sz w:val="20"/>
                <w:szCs w:val="20"/>
              </w:rPr>
              <w:t>Sexual Assault (including attempted offences)</w:t>
            </w:r>
          </w:p>
        </w:tc>
        <w:tc>
          <w:tcPr>
            <w:tcW w:w="992" w:type="dxa"/>
            <w:shd w:val="clear" w:color="auto" w:fill="F2F2F2" w:themeFill="background1" w:themeFillShade="F2"/>
          </w:tcPr>
          <w:p w14:paraId="7C0BF61F" w14:textId="77777777" w:rsidR="00F247CE" w:rsidRPr="00545AFB" w:rsidRDefault="00F247CE" w:rsidP="00F247CE">
            <w:pPr>
              <w:jc w:val="center"/>
              <w:rPr>
                <w:sz w:val="20"/>
                <w:szCs w:val="20"/>
              </w:rPr>
            </w:pPr>
          </w:p>
          <w:p w14:paraId="71EE087B" w14:textId="77777777" w:rsidR="00F247CE" w:rsidRPr="00545AFB" w:rsidRDefault="00F247CE" w:rsidP="00F247CE">
            <w:pPr>
              <w:jc w:val="center"/>
              <w:rPr>
                <w:sz w:val="20"/>
                <w:szCs w:val="20"/>
              </w:rPr>
            </w:pPr>
            <w:r w:rsidRPr="5BE6DD8F">
              <w:rPr>
                <w:sz w:val="20"/>
                <w:szCs w:val="20"/>
              </w:rPr>
              <w:t>0.9</w:t>
            </w:r>
          </w:p>
        </w:tc>
        <w:tc>
          <w:tcPr>
            <w:tcW w:w="992" w:type="dxa"/>
            <w:shd w:val="clear" w:color="auto" w:fill="F2F2F2" w:themeFill="background1" w:themeFillShade="F2"/>
          </w:tcPr>
          <w:p w14:paraId="53C85563" w14:textId="77777777" w:rsidR="00F247CE" w:rsidRPr="00545AFB" w:rsidRDefault="00F247CE" w:rsidP="00F247CE">
            <w:pPr>
              <w:jc w:val="center"/>
              <w:rPr>
                <w:sz w:val="20"/>
                <w:szCs w:val="20"/>
              </w:rPr>
            </w:pPr>
          </w:p>
          <w:p w14:paraId="478096CC" w14:textId="77777777" w:rsidR="00F247CE" w:rsidRPr="00545AFB" w:rsidRDefault="00F247CE" w:rsidP="00F247CE">
            <w:pPr>
              <w:jc w:val="center"/>
              <w:rPr>
                <w:sz w:val="20"/>
                <w:szCs w:val="20"/>
              </w:rPr>
            </w:pPr>
            <w:r w:rsidRPr="5BE6DD8F">
              <w:rPr>
                <w:sz w:val="20"/>
                <w:szCs w:val="20"/>
              </w:rPr>
              <w:t>3.2</w:t>
            </w:r>
          </w:p>
        </w:tc>
        <w:tc>
          <w:tcPr>
            <w:tcW w:w="993" w:type="dxa"/>
            <w:shd w:val="clear" w:color="auto" w:fill="F2F2F2" w:themeFill="background1" w:themeFillShade="F2"/>
          </w:tcPr>
          <w:p w14:paraId="2B25F62A" w14:textId="77777777" w:rsidR="00F247CE" w:rsidRPr="00545AFB" w:rsidRDefault="00F247CE" w:rsidP="00F247CE">
            <w:pPr>
              <w:jc w:val="center"/>
              <w:rPr>
                <w:b/>
                <w:bCs/>
                <w:sz w:val="20"/>
                <w:szCs w:val="20"/>
              </w:rPr>
            </w:pPr>
          </w:p>
          <w:p w14:paraId="6A616BDE" w14:textId="77777777" w:rsidR="00F247CE" w:rsidRPr="00545AFB" w:rsidRDefault="00F247CE" w:rsidP="00F247CE">
            <w:pPr>
              <w:jc w:val="center"/>
              <w:rPr>
                <w:b/>
                <w:bCs/>
                <w:sz w:val="20"/>
                <w:szCs w:val="20"/>
              </w:rPr>
            </w:pPr>
            <w:r w:rsidRPr="5BE6DD8F">
              <w:rPr>
                <w:b/>
                <w:bCs/>
                <w:sz w:val="20"/>
                <w:szCs w:val="20"/>
              </w:rPr>
              <w:t>2.1</w:t>
            </w:r>
          </w:p>
        </w:tc>
        <w:tc>
          <w:tcPr>
            <w:tcW w:w="992" w:type="dxa"/>
            <w:shd w:val="clear" w:color="auto" w:fill="F2F2F2" w:themeFill="background1" w:themeFillShade="F2"/>
          </w:tcPr>
          <w:p w14:paraId="36740FD9" w14:textId="77777777" w:rsidR="00F247CE" w:rsidRDefault="00F247CE" w:rsidP="00F247CE">
            <w:pPr>
              <w:jc w:val="center"/>
              <w:rPr>
                <w:sz w:val="20"/>
                <w:szCs w:val="20"/>
              </w:rPr>
            </w:pPr>
          </w:p>
          <w:p w14:paraId="1D90B666" w14:textId="77777777" w:rsidR="00F247CE" w:rsidRPr="00545AFB" w:rsidRDefault="00F247CE" w:rsidP="00F247CE">
            <w:pPr>
              <w:jc w:val="center"/>
              <w:rPr>
                <w:sz w:val="20"/>
                <w:szCs w:val="20"/>
              </w:rPr>
            </w:pPr>
            <w:r w:rsidRPr="5BE6DD8F">
              <w:rPr>
                <w:sz w:val="20"/>
                <w:szCs w:val="20"/>
              </w:rPr>
              <w:t>5.7</w:t>
            </w:r>
          </w:p>
        </w:tc>
        <w:tc>
          <w:tcPr>
            <w:tcW w:w="992" w:type="dxa"/>
            <w:shd w:val="clear" w:color="auto" w:fill="F2F2F2" w:themeFill="background1" w:themeFillShade="F2"/>
          </w:tcPr>
          <w:p w14:paraId="53B2343B" w14:textId="77777777" w:rsidR="00F247CE" w:rsidRDefault="00F247CE" w:rsidP="00F247CE">
            <w:pPr>
              <w:jc w:val="center"/>
              <w:rPr>
                <w:sz w:val="20"/>
                <w:szCs w:val="20"/>
              </w:rPr>
            </w:pPr>
          </w:p>
          <w:p w14:paraId="768A98B7" w14:textId="77777777" w:rsidR="00F247CE" w:rsidRPr="00545AFB" w:rsidRDefault="00F247CE" w:rsidP="00F247CE">
            <w:pPr>
              <w:jc w:val="center"/>
              <w:rPr>
                <w:sz w:val="20"/>
                <w:szCs w:val="20"/>
              </w:rPr>
            </w:pPr>
            <w:r w:rsidRPr="5BE6DD8F">
              <w:rPr>
                <w:sz w:val="20"/>
                <w:szCs w:val="20"/>
              </w:rPr>
              <w:t>27</w:t>
            </w:r>
          </w:p>
        </w:tc>
        <w:tc>
          <w:tcPr>
            <w:tcW w:w="968" w:type="dxa"/>
            <w:shd w:val="clear" w:color="auto" w:fill="F2F2F2" w:themeFill="background1" w:themeFillShade="F2"/>
          </w:tcPr>
          <w:p w14:paraId="46B975CE" w14:textId="77777777" w:rsidR="00F247CE" w:rsidRPr="001B35A0" w:rsidRDefault="00F247CE" w:rsidP="00F247CE">
            <w:pPr>
              <w:jc w:val="center"/>
              <w:rPr>
                <w:b/>
                <w:bCs/>
                <w:sz w:val="20"/>
                <w:szCs w:val="20"/>
              </w:rPr>
            </w:pPr>
            <w:r w:rsidRPr="5BE6DD8F">
              <w:rPr>
                <w:b/>
                <w:bCs/>
                <w:sz w:val="20"/>
                <w:szCs w:val="20"/>
              </w:rPr>
              <w:t>16.6</w:t>
            </w:r>
          </w:p>
        </w:tc>
      </w:tr>
      <w:bookmarkEnd w:id="0"/>
      <w:tr w:rsidR="00F247CE" w:rsidRPr="00C903B7" w14:paraId="506CB91A" w14:textId="77777777" w:rsidTr="5BE6DD8F">
        <w:trPr>
          <w:trHeight w:val="413"/>
        </w:trPr>
        <w:tc>
          <w:tcPr>
            <w:tcW w:w="3033" w:type="dxa"/>
            <w:shd w:val="clear" w:color="auto" w:fill="FFFFFF" w:themeFill="background1"/>
          </w:tcPr>
          <w:p w14:paraId="362E09D2" w14:textId="77777777" w:rsidR="00F247CE" w:rsidRPr="000675C0" w:rsidRDefault="00F247CE" w:rsidP="00236715">
            <w:pPr>
              <w:jc w:val="right"/>
              <w:rPr>
                <w:rFonts w:ascii="Calibri" w:hAnsi="Calibri" w:cs="Calibri"/>
                <w:sz w:val="20"/>
                <w:szCs w:val="20"/>
              </w:rPr>
            </w:pPr>
            <w:r w:rsidRPr="5BE6DD8F">
              <w:rPr>
                <w:rFonts w:ascii="Calibri" w:hAnsi="Calibri" w:cs="Calibri"/>
                <w:sz w:val="20"/>
                <w:szCs w:val="20"/>
              </w:rPr>
              <w:t>Rape or assault by penetration (including attempts)</w:t>
            </w:r>
          </w:p>
          <w:p w14:paraId="1F3B9482" w14:textId="77777777" w:rsidR="00F247CE" w:rsidRPr="000675C0" w:rsidRDefault="00F247CE" w:rsidP="00236715">
            <w:pPr>
              <w:jc w:val="right"/>
              <w:rPr>
                <w:rFonts w:ascii="Calibri" w:hAnsi="Calibri" w:cs="Calibri"/>
                <w:sz w:val="20"/>
                <w:szCs w:val="20"/>
              </w:rPr>
            </w:pPr>
          </w:p>
        </w:tc>
        <w:tc>
          <w:tcPr>
            <w:tcW w:w="992" w:type="dxa"/>
            <w:shd w:val="clear" w:color="auto" w:fill="FFFFFF" w:themeFill="background1"/>
          </w:tcPr>
          <w:p w14:paraId="4BBD0330" w14:textId="77777777" w:rsidR="00F247CE" w:rsidRDefault="00F247CE" w:rsidP="00F247CE">
            <w:pPr>
              <w:jc w:val="center"/>
              <w:rPr>
                <w:sz w:val="20"/>
                <w:szCs w:val="20"/>
              </w:rPr>
            </w:pPr>
          </w:p>
          <w:p w14:paraId="2D30189D" w14:textId="77777777" w:rsidR="00F247CE" w:rsidRPr="00545AFB" w:rsidRDefault="00F247CE" w:rsidP="00F247CE">
            <w:pPr>
              <w:jc w:val="center"/>
              <w:rPr>
                <w:sz w:val="20"/>
                <w:szCs w:val="20"/>
              </w:rPr>
            </w:pPr>
            <w:r w:rsidRPr="5BE6DD8F">
              <w:rPr>
                <w:sz w:val="20"/>
                <w:szCs w:val="20"/>
              </w:rPr>
              <w:t>-</w:t>
            </w:r>
          </w:p>
        </w:tc>
        <w:tc>
          <w:tcPr>
            <w:tcW w:w="992" w:type="dxa"/>
            <w:shd w:val="clear" w:color="auto" w:fill="FFFFFF" w:themeFill="background1"/>
          </w:tcPr>
          <w:p w14:paraId="292D0026" w14:textId="77777777" w:rsidR="00F247CE" w:rsidRDefault="00F247CE" w:rsidP="00F247CE">
            <w:pPr>
              <w:jc w:val="center"/>
              <w:rPr>
                <w:sz w:val="20"/>
                <w:szCs w:val="20"/>
              </w:rPr>
            </w:pPr>
          </w:p>
          <w:p w14:paraId="3E6B85BA" w14:textId="77777777" w:rsidR="00F247CE" w:rsidRPr="00545AFB" w:rsidRDefault="00F247CE" w:rsidP="00F247CE">
            <w:pPr>
              <w:jc w:val="center"/>
              <w:rPr>
                <w:sz w:val="20"/>
                <w:szCs w:val="20"/>
              </w:rPr>
            </w:pPr>
            <w:r w:rsidRPr="5BE6DD8F">
              <w:rPr>
                <w:sz w:val="20"/>
                <w:szCs w:val="20"/>
              </w:rPr>
              <w:t>1.1</w:t>
            </w:r>
          </w:p>
        </w:tc>
        <w:tc>
          <w:tcPr>
            <w:tcW w:w="993" w:type="dxa"/>
            <w:shd w:val="clear" w:color="auto" w:fill="FFFFFF" w:themeFill="background1"/>
          </w:tcPr>
          <w:p w14:paraId="3DF5F4D5" w14:textId="77777777" w:rsidR="00F247CE" w:rsidRDefault="00F247CE" w:rsidP="00F247CE">
            <w:pPr>
              <w:jc w:val="center"/>
              <w:rPr>
                <w:b/>
                <w:bCs/>
                <w:sz w:val="20"/>
                <w:szCs w:val="20"/>
              </w:rPr>
            </w:pPr>
          </w:p>
          <w:p w14:paraId="1FBE5511" w14:textId="77777777" w:rsidR="00F247CE" w:rsidRPr="00545AFB" w:rsidRDefault="00F247CE" w:rsidP="00F247CE">
            <w:pPr>
              <w:jc w:val="center"/>
              <w:rPr>
                <w:b/>
                <w:bCs/>
                <w:sz w:val="20"/>
                <w:szCs w:val="20"/>
              </w:rPr>
            </w:pPr>
            <w:r w:rsidRPr="5BE6DD8F">
              <w:rPr>
                <w:b/>
                <w:bCs/>
                <w:sz w:val="20"/>
                <w:szCs w:val="20"/>
              </w:rPr>
              <w:t>0.6</w:t>
            </w:r>
          </w:p>
        </w:tc>
        <w:tc>
          <w:tcPr>
            <w:tcW w:w="992" w:type="dxa"/>
            <w:shd w:val="clear" w:color="auto" w:fill="FFFFFF" w:themeFill="background1"/>
          </w:tcPr>
          <w:p w14:paraId="63D21DCD" w14:textId="77777777" w:rsidR="00F247CE" w:rsidRDefault="00F247CE" w:rsidP="00F247CE">
            <w:pPr>
              <w:jc w:val="center"/>
              <w:rPr>
                <w:sz w:val="20"/>
                <w:szCs w:val="20"/>
              </w:rPr>
            </w:pPr>
          </w:p>
          <w:p w14:paraId="0ECE3D42" w14:textId="77777777" w:rsidR="00F247CE" w:rsidRDefault="00F247CE" w:rsidP="00F247CE">
            <w:pPr>
              <w:jc w:val="center"/>
              <w:rPr>
                <w:sz w:val="20"/>
                <w:szCs w:val="20"/>
              </w:rPr>
            </w:pPr>
            <w:r w:rsidRPr="5BE6DD8F">
              <w:rPr>
                <w:sz w:val="20"/>
                <w:szCs w:val="20"/>
              </w:rPr>
              <w:t>-</w:t>
            </w:r>
          </w:p>
          <w:p w14:paraId="1910C327" w14:textId="77777777" w:rsidR="00F247CE" w:rsidRDefault="00F247CE" w:rsidP="00F247CE">
            <w:pPr>
              <w:jc w:val="center"/>
              <w:rPr>
                <w:sz w:val="20"/>
                <w:szCs w:val="20"/>
              </w:rPr>
            </w:pPr>
          </w:p>
        </w:tc>
        <w:tc>
          <w:tcPr>
            <w:tcW w:w="992" w:type="dxa"/>
            <w:shd w:val="clear" w:color="auto" w:fill="FFFFFF" w:themeFill="background1"/>
          </w:tcPr>
          <w:p w14:paraId="331B6F28" w14:textId="77777777" w:rsidR="00F247CE" w:rsidRDefault="00F247CE" w:rsidP="00F247CE">
            <w:pPr>
              <w:jc w:val="center"/>
              <w:rPr>
                <w:sz w:val="20"/>
                <w:szCs w:val="20"/>
              </w:rPr>
            </w:pPr>
          </w:p>
          <w:p w14:paraId="3E843004" w14:textId="77777777" w:rsidR="00F247CE" w:rsidRDefault="00F247CE" w:rsidP="00F247CE">
            <w:pPr>
              <w:jc w:val="center"/>
              <w:rPr>
                <w:sz w:val="20"/>
                <w:szCs w:val="20"/>
              </w:rPr>
            </w:pPr>
            <w:r w:rsidRPr="5BE6DD8F">
              <w:rPr>
                <w:sz w:val="20"/>
                <w:szCs w:val="20"/>
              </w:rPr>
              <w:t>8.7</w:t>
            </w:r>
          </w:p>
        </w:tc>
        <w:tc>
          <w:tcPr>
            <w:tcW w:w="968" w:type="dxa"/>
            <w:shd w:val="clear" w:color="auto" w:fill="FFFFFF" w:themeFill="background1"/>
          </w:tcPr>
          <w:p w14:paraId="7032E52A" w14:textId="77777777" w:rsidR="00F247CE" w:rsidRDefault="00F247CE" w:rsidP="00F247CE">
            <w:pPr>
              <w:jc w:val="center"/>
              <w:rPr>
                <w:sz w:val="20"/>
                <w:szCs w:val="20"/>
              </w:rPr>
            </w:pPr>
          </w:p>
          <w:p w14:paraId="6B8E62AF" w14:textId="77777777" w:rsidR="00F247CE" w:rsidRPr="001528F2" w:rsidRDefault="00F247CE" w:rsidP="00F247CE">
            <w:pPr>
              <w:jc w:val="center"/>
              <w:rPr>
                <w:b/>
                <w:bCs/>
                <w:sz w:val="20"/>
                <w:szCs w:val="20"/>
              </w:rPr>
            </w:pPr>
            <w:r w:rsidRPr="5BE6DD8F">
              <w:rPr>
                <w:b/>
                <w:bCs/>
                <w:sz w:val="20"/>
                <w:szCs w:val="20"/>
              </w:rPr>
              <w:t>4.7</w:t>
            </w:r>
          </w:p>
        </w:tc>
      </w:tr>
      <w:tr w:rsidR="00F247CE" w:rsidRPr="000675C0" w14:paraId="43E69568" w14:textId="77777777" w:rsidTr="5BE6DD8F">
        <w:trPr>
          <w:trHeight w:val="420"/>
        </w:trPr>
        <w:tc>
          <w:tcPr>
            <w:tcW w:w="3033" w:type="dxa"/>
            <w:shd w:val="clear" w:color="auto" w:fill="FFFFFF" w:themeFill="background1"/>
          </w:tcPr>
          <w:p w14:paraId="7605F914" w14:textId="77777777" w:rsidR="00F247CE" w:rsidRPr="000675C0" w:rsidRDefault="00F247CE" w:rsidP="00236715">
            <w:pPr>
              <w:jc w:val="right"/>
              <w:rPr>
                <w:rFonts w:ascii="Calibri" w:hAnsi="Calibri" w:cs="Calibri"/>
                <w:sz w:val="20"/>
                <w:szCs w:val="20"/>
              </w:rPr>
            </w:pPr>
            <w:r w:rsidRPr="5BE6DD8F">
              <w:rPr>
                <w:rFonts w:ascii="Calibri" w:hAnsi="Calibri" w:cs="Calibri"/>
                <w:sz w:val="20"/>
                <w:szCs w:val="20"/>
              </w:rPr>
              <w:t>Indecent exposure or unwanted sexual touching</w:t>
            </w:r>
          </w:p>
          <w:p w14:paraId="5E315DEA" w14:textId="77777777" w:rsidR="00F247CE" w:rsidRPr="000675C0" w:rsidRDefault="00F247CE" w:rsidP="00236715">
            <w:pPr>
              <w:jc w:val="right"/>
              <w:rPr>
                <w:rFonts w:ascii="Calibri" w:hAnsi="Calibri" w:cs="Calibri"/>
                <w:sz w:val="20"/>
                <w:szCs w:val="20"/>
              </w:rPr>
            </w:pPr>
          </w:p>
        </w:tc>
        <w:tc>
          <w:tcPr>
            <w:tcW w:w="992" w:type="dxa"/>
            <w:shd w:val="clear" w:color="auto" w:fill="FFFFFF" w:themeFill="background1"/>
          </w:tcPr>
          <w:p w14:paraId="26ECB858" w14:textId="77777777" w:rsidR="00F247CE" w:rsidRDefault="00F247CE" w:rsidP="00F247CE">
            <w:pPr>
              <w:jc w:val="center"/>
              <w:rPr>
                <w:sz w:val="20"/>
                <w:szCs w:val="20"/>
              </w:rPr>
            </w:pPr>
          </w:p>
          <w:p w14:paraId="6268D5BE" w14:textId="77777777" w:rsidR="00F247CE" w:rsidRPr="00545AFB" w:rsidRDefault="00F247CE" w:rsidP="00F247CE">
            <w:pPr>
              <w:jc w:val="center"/>
              <w:rPr>
                <w:sz w:val="20"/>
                <w:szCs w:val="20"/>
              </w:rPr>
            </w:pPr>
            <w:r w:rsidRPr="5BE6DD8F">
              <w:rPr>
                <w:sz w:val="20"/>
                <w:szCs w:val="20"/>
              </w:rPr>
              <w:t>1.2</w:t>
            </w:r>
          </w:p>
        </w:tc>
        <w:tc>
          <w:tcPr>
            <w:tcW w:w="992" w:type="dxa"/>
            <w:shd w:val="clear" w:color="auto" w:fill="FFFFFF" w:themeFill="background1"/>
          </w:tcPr>
          <w:p w14:paraId="6ADCC8B1" w14:textId="77777777" w:rsidR="00F247CE" w:rsidRDefault="00F247CE" w:rsidP="00F247CE">
            <w:pPr>
              <w:jc w:val="center"/>
              <w:rPr>
                <w:sz w:val="20"/>
                <w:szCs w:val="20"/>
              </w:rPr>
            </w:pPr>
          </w:p>
          <w:p w14:paraId="330C1301" w14:textId="77777777" w:rsidR="00F247CE" w:rsidRDefault="00F247CE" w:rsidP="00F247CE">
            <w:pPr>
              <w:jc w:val="center"/>
              <w:rPr>
                <w:sz w:val="20"/>
                <w:szCs w:val="20"/>
              </w:rPr>
            </w:pPr>
            <w:r w:rsidRPr="5BE6DD8F">
              <w:rPr>
                <w:sz w:val="20"/>
                <w:szCs w:val="20"/>
              </w:rPr>
              <w:t>2.7</w:t>
            </w:r>
          </w:p>
          <w:p w14:paraId="7141EBFF" w14:textId="77777777" w:rsidR="00F247CE" w:rsidRPr="00545AFB" w:rsidRDefault="00F247CE" w:rsidP="00F247CE">
            <w:pPr>
              <w:jc w:val="center"/>
              <w:rPr>
                <w:sz w:val="20"/>
                <w:szCs w:val="20"/>
              </w:rPr>
            </w:pPr>
          </w:p>
        </w:tc>
        <w:tc>
          <w:tcPr>
            <w:tcW w:w="993" w:type="dxa"/>
            <w:shd w:val="clear" w:color="auto" w:fill="FFFFFF" w:themeFill="background1"/>
          </w:tcPr>
          <w:p w14:paraId="09077F4A" w14:textId="77777777" w:rsidR="00F247CE" w:rsidRDefault="00F247CE" w:rsidP="00F247CE">
            <w:pPr>
              <w:jc w:val="center"/>
              <w:rPr>
                <w:b/>
                <w:bCs/>
                <w:sz w:val="20"/>
                <w:szCs w:val="20"/>
              </w:rPr>
            </w:pPr>
          </w:p>
          <w:p w14:paraId="7FAAF1DA" w14:textId="77777777" w:rsidR="00F247CE" w:rsidRPr="00545AFB" w:rsidRDefault="00F247CE" w:rsidP="00F247CE">
            <w:pPr>
              <w:jc w:val="center"/>
              <w:rPr>
                <w:b/>
                <w:bCs/>
                <w:sz w:val="20"/>
                <w:szCs w:val="20"/>
              </w:rPr>
            </w:pPr>
            <w:r w:rsidRPr="5BE6DD8F">
              <w:rPr>
                <w:b/>
                <w:bCs/>
                <w:sz w:val="20"/>
                <w:szCs w:val="20"/>
              </w:rPr>
              <w:t>1.9</w:t>
            </w:r>
          </w:p>
        </w:tc>
        <w:tc>
          <w:tcPr>
            <w:tcW w:w="992" w:type="dxa"/>
            <w:shd w:val="clear" w:color="auto" w:fill="FFFFFF" w:themeFill="background1"/>
          </w:tcPr>
          <w:p w14:paraId="5C0D2C55" w14:textId="77777777" w:rsidR="00F247CE" w:rsidRDefault="00F247CE" w:rsidP="00F247CE">
            <w:pPr>
              <w:jc w:val="center"/>
              <w:rPr>
                <w:sz w:val="20"/>
                <w:szCs w:val="20"/>
              </w:rPr>
            </w:pPr>
          </w:p>
          <w:p w14:paraId="006AA7B4" w14:textId="77777777" w:rsidR="00F247CE" w:rsidRDefault="00F247CE" w:rsidP="00F247CE">
            <w:pPr>
              <w:jc w:val="center"/>
              <w:rPr>
                <w:sz w:val="20"/>
                <w:szCs w:val="20"/>
              </w:rPr>
            </w:pPr>
            <w:r w:rsidRPr="5BE6DD8F">
              <w:rPr>
                <w:sz w:val="20"/>
                <w:szCs w:val="20"/>
              </w:rPr>
              <w:t>15.9</w:t>
            </w:r>
          </w:p>
        </w:tc>
        <w:tc>
          <w:tcPr>
            <w:tcW w:w="992" w:type="dxa"/>
            <w:shd w:val="clear" w:color="auto" w:fill="FFFFFF" w:themeFill="background1"/>
          </w:tcPr>
          <w:p w14:paraId="16B04A4F" w14:textId="77777777" w:rsidR="00F247CE" w:rsidRDefault="00F247CE" w:rsidP="00F247CE">
            <w:pPr>
              <w:jc w:val="center"/>
              <w:rPr>
                <w:sz w:val="20"/>
                <w:szCs w:val="20"/>
              </w:rPr>
            </w:pPr>
          </w:p>
          <w:p w14:paraId="041F68BC" w14:textId="77777777" w:rsidR="00F247CE" w:rsidRDefault="00F247CE" w:rsidP="00F247CE">
            <w:pPr>
              <w:jc w:val="center"/>
              <w:rPr>
                <w:sz w:val="20"/>
                <w:szCs w:val="20"/>
              </w:rPr>
            </w:pPr>
            <w:r w:rsidRPr="5BE6DD8F">
              <w:rPr>
                <w:sz w:val="20"/>
                <w:szCs w:val="20"/>
              </w:rPr>
              <w:t>25.7</w:t>
            </w:r>
          </w:p>
        </w:tc>
        <w:tc>
          <w:tcPr>
            <w:tcW w:w="968" w:type="dxa"/>
            <w:shd w:val="clear" w:color="auto" w:fill="FFFFFF" w:themeFill="background1"/>
          </w:tcPr>
          <w:p w14:paraId="44019D78" w14:textId="77777777" w:rsidR="00F247CE" w:rsidRDefault="00F247CE" w:rsidP="00F247CE">
            <w:pPr>
              <w:jc w:val="center"/>
              <w:rPr>
                <w:sz w:val="20"/>
                <w:szCs w:val="20"/>
              </w:rPr>
            </w:pPr>
          </w:p>
          <w:p w14:paraId="0D02EA63" w14:textId="77777777" w:rsidR="00F247CE" w:rsidRPr="007C38AB" w:rsidRDefault="00F247CE" w:rsidP="00F247CE">
            <w:pPr>
              <w:jc w:val="center"/>
              <w:rPr>
                <w:b/>
                <w:bCs/>
                <w:sz w:val="20"/>
                <w:szCs w:val="20"/>
              </w:rPr>
            </w:pPr>
            <w:r w:rsidRPr="5BE6DD8F">
              <w:rPr>
                <w:b/>
                <w:bCs/>
                <w:sz w:val="20"/>
                <w:szCs w:val="20"/>
              </w:rPr>
              <w:t>5.6</w:t>
            </w:r>
          </w:p>
        </w:tc>
      </w:tr>
    </w:tbl>
    <w:p w14:paraId="799AD28D" w14:textId="57DCA3E6" w:rsidR="00CC1B1D" w:rsidRPr="00CC1B1D" w:rsidRDefault="00CC1B1D" w:rsidP="5BE6DD8F">
      <w:pPr>
        <w:rPr>
          <w:rFonts w:asciiTheme="majorHAnsi" w:hAnsiTheme="majorHAnsi" w:cstheme="majorBidi"/>
          <w:b/>
          <w:bCs/>
        </w:rPr>
      </w:pPr>
      <w:r w:rsidRPr="5BE6DD8F">
        <w:rPr>
          <w:rFonts w:asciiTheme="majorHAnsi" w:hAnsiTheme="majorHAnsi" w:cstheme="majorBidi"/>
          <w:b/>
          <w:bCs/>
        </w:rPr>
        <w:t xml:space="preserve">Table 1: National percentage estimates for sexual assault including attempted offences. </w:t>
      </w:r>
    </w:p>
    <w:p w14:paraId="5CFE6A50" w14:textId="1293B459" w:rsidR="00CC1B1D" w:rsidRDefault="009433C8" w:rsidP="009433C8">
      <w:r>
        <w:rPr>
          <w:noProof/>
        </w:rPr>
        <w:drawing>
          <wp:inline distT="0" distB="0" distL="0" distR="0" wp14:anchorId="264B6544" wp14:editId="2A5D3B1A">
            <wp:extent cx="3847462" cy="396240"/>
            <wp:effectExtent l="0" t="0" r="0" b="0"/>
            <wp:docPr id="1688847849" name="Picture 1" descr="A table showing the 16-74 population of Sheffield from mid-2022. &#10;&#10;There are 208,078 men, 209,155 women, and 417.233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47849" name="Picture 1" descr="A table showing the 16-74 population of Sheffield from mid-2022. &#10;&#10;There are 208,078 men, 209,155 women, and 417.233 total."/>
                    <pic:cNvPicPr>
                      <a:picLocks noChangeAspect="1" noChangeArrowheads="1"/>
                    </pic:cNvPicPr>
                  </pic:nvPicPr>
                  <pic:blipFill rotWithShape="1">
                    <a:blip r:embed="rId13">
                      <a:extLst>
                        <a:ext uri="{28A0092B-C50C-407E-A947-70E740481C1C}">
                          <a14:useLocalDpi xmlns:a14="http://schemas.microsoft.com/office/drawing/2010/main" val="0"/>
                        </a:ext>
                      </a:extLst>
                    </a:blip>
                    <a:srcRect l="1730" t="48643" r="31084" b="37739"/>
                    <a:stretch/>
                  </pic:blipFill>
                  <pic:spPr bwMode="auto">
                    <a:xfrm>
                      <a:off x="0" y="0"/>
                      <a:ext cx="3850781" cy="396582"/>
                    </a:xfrm>
                    <a:prstGeom prst="rect">
                      <a:avLst/>
                    </a:prstGeom>
                    <a:noFill/>
                    <a:ln>
                      <a:noFill/>
                    </a:ln>
                    <a:extLst>
                      <a:ext uri="{53640926-AAD7-44D8-BBD7-CCE9431645EC}">
                        <a14:shadowObscured xmlns:a14="http://schemas.microsoft.com/office/drawing/2010/main"/>
                      </a:ext>
                    </a:extLst>
                  </pic:spPr>
                </pic:pic>
              </a:graphicData>
            </a:graphic>
          </wp:inline>
        </w:drawing>
      </w:r>
    </w:p>
    <w:p w14:paraId="3DF619D4" w14:textId="2BA9351F" w:rsidR="00CC1B1D" w:rsidRPr="00CC1B1D" w:rsidRDefault="00CC1B1D" w:rsidP="5BE6DD8F">
      <w:pPr>
        <w:rPr>
          <w:rFonts w:asciiTheme="majorHAnsi" w:hAnsiTheme="majorHAnsi" w:cstheme="majorBidi"/>
          <w:b/>
          <w:bCs/>
        </w:rPr>
      </w:pPr>
      <w:r w:rsidRPr="5BE6DD8F">
        <w:rPr>
          <w:rFonts w:asciiTheme="majorHAnsi" w:hAnsiTheme="majorHAnsi" w:cstheme="majorBidi"/>
          <w:b/>
          <w:bCs/>
        </w:rPr>
        <w:t>Table 2: Sheffield Population as of 2022.</w:t>
      </w:r>
    </w:p>
    <w:tbl>
      <w:tblPr>
        <w:tblStyle w:val="TableGrid"/>
        <w:tblW w:w="8920" w:type="dxa"/>
        <w:jc w:val="center"/>
        <w:shd w:val="clear" w:color="auto" w:fill="FFFFFF" w:themeFill="background1"/>
        <w:tblLook w:val="04A0" w:firstRow="1" w:lastRow="0" w:firstColumn="1" w:lastColumn="0" w:noHBand="0" w:noVBand="1"/>
      </w:tblPr>
      <w:tblGrid>
        <w:gridCol w:w="3027"/>
        <w:gridCol w:w="881"/>
        <w:gridCol w:w="988"/>
        <w:gridCol w:w="1005"/>
        <w:gridCol w:w="966"/>
        <w:gridCol w:w="988"/>
        <w:gridCol w:w="1065"/>
      </w:tblGrid>
      <w:tr w:rsidR="0021157D" w:rsidRPr="00C903B7" w14:paraId="12B1B7A6" w14:textId="77777777" w:rsidTr="003F7BA6">
        <w:trPr>
          <w:trHeight w:val="394"/>
          <w:jc w:val="center"/>
        </w:trPr>
        <w:tc>
          <w:tcPr>
            <w:tcW w:w="3027" w:type="dxa"/>
            <w:vMerge w:val="restart"/>
            <w:shd w:val="clear" w:color="auto" w:fill="FFFFFF" w:themeFill="background1"/>
          </w:tcPr>
          <w:p w14:paraId="4491D66E" w14:textId="77777777" w:rsidR="0021157D" w:rsidRPr="00873333" w:rsidRDefault="0021157D" w:rsidP="00236715">
            <w:pPr>
              <w:jc w:val="center"/>
              <w:rPr>
                <w:b/>
                <w:bCs/>
              </w:rPr>
            </w:pPr>
            <w:r w:rsidRPr="5BE6DD8F">
              <w:rPr>
                <w:b/>
                <w:bCs/>
              </w:rPr>
              <w:t>Sheffield estimates</w:t>
            </w:r>
          </w:p>
        </w:tc>
        <w:tc>
          <w:tcPr>
            <w:tcW w:w="2874" w:type="dxa"/>
            <w:gridSpan w:val="3"/>
            <w:shd w:val="clear" w:color="auto" w:fill="FFFFFF" w:themeFill="background1"/>
          </w:tcPr>
          <w:p w14:paraId="29DC154D" w14:textId="77777777" w:rsidR="0021157D" w:rsidRPr="00873333" w:rsidRDefault="0021157D" w:rsidP="00236715">
            <w:pPr>
              <w:jc w:val="center"/>
              <w:rPr>
                <w:b/>
                <w:bCs/>
              </w:rPr>
            </w:pPr>
            <w:r w:rsidRPr="5BE6DD8F">
              <w:rPr>
                <w:b/>
                <w:bCs/>
              </w:rPr>
              <w:t xml:space="preserve">In the last year </w:t>
            </w:r>
          </w:p>
        </w:tc>
        <w:tc>
          <w:tcPr>
            <w:tcW w:w="3019" w:type="dxa"/>
            <w:gridSpan w:val="3"/>
            <w:shd w:val="clear" w:color="auto" w:fill="FFFFFF" w:themeFill="background1"/>
          </w:tcPr>
          <w:p w14:paraId="7B29EE8E" w14:textId="77777777" w:rsidR="0021157D" w:rsidRPr="00873333" w:rsidRDefault="0021157D" w:rsidP="00236715">
            <w:pPr>
              <w:jc w:val="center"/>
              <w:rPr>
                <w:b/>
                <w:bCs/>
              </w:rPr>
            </w:pPr>
            <w:r w:rsidRPr="5BE6DD8F">
              <w:rPr>
                <w:b/>
                <w:bCs/>
              </w:rPr>
              <w:t xml:space="preserve">Since the age of 16 </w:t>
            </w:r>
          </w:p>
        </w:tc>
      </w:tr>
      <w:tr w:rsidR="0021157D" w:rsidRPr="00C903B7" w14:paraId="1D1E7956" w14:textId="77777777" w:rsidTr="003F7BA6">
        <w:trPr>
          <w:jc w:val="center"/>
        </w:trPr>
        <w:tc>
          <w:tcPr>
            <w:tcW w:w="3027" w:type="dxa"/>
            <w:vMerge/>
          </w:tcPr>
          <w:p w14:paraId="46DF0ABC" w14:textId="2A756F73" w:rsidR="0021157D" w:rsidRPr="00C903B7" w:rsidRDefault="0021157D" w:rsidP="00236715">
            <w:pPr>
              <w:rPr>
                <w:sz w:val="20"/>
                <w:szCs w:val="20"/>
              </w:rPr>
            </w:pPr>
          </w:p>
        </w:tc>
        <w:tc>
          <w:tcPr>
            <w:tcW w:w="881" w:type="dxa"/>
            <w:shd w:val="clear" w:color="auto" w:fill="FFFFFF" w:themeFill="background1"/>
          </w:tcPr>
          <w:p w14:paraId="75ABA74F" w14:textId="77777777" w:rsidR="0021157D" w:rsidRPr="00C903B7" w:rsidRDefault="0021157D" w:rsidP="00236715">
            <w:pPr>
              <w:jc w:val="center"/>
              <w:rPr>
                <w:sz w:val="20"/>
                <w:szCs w:val="20"/>
              </w:rPr>
            </w:pPr>
            <w:r w:rsidRPr="5BE6DD8F">
              <w:rPr>
                <w:sz w:val="20"/>
                <w:szCs w:val="20"/>
              </w:rPr>
              <w:t>Men</w:t>
            </w:r>
          </w:p>
        </w:tc>
        <w:tc>
          <w:tcPr>
            <w:tcW w:w="988" w:type="dxa"/>
            <w:shd w:val="clear" w:color="auto" w:fill="FFFFFF" w:themeFill="background1"/>
          </w:tcPr>
          <w:p w14:paraId="553E79CF" w14:textId="77777777" w:rsidR="0021157D" w:rsidRPr="00C903B7" w:rsidRDefault="0021157D" w:rsidP="00236715">
            <w:pPr>
              <w:jc w:val="center"/>
              <w:rPr>
                <w:sz w:val="20"/>
                <w:szCs w:val="20"/>
              </w:rPr>
            </w:pPr>
            <w:r w:rsidRPr="5BE6DD8F">
              <w:rPr>
                <w:sz w:val="20"/>
                <w:szCs w:val="20"/>
              </w:rPr>
              <w:t>Women</w:t>
            </w:r>
          </w:p>
        </w:tc>
        <w:tc>
          <w:tcPr>
            <w:tcW w:w="1005" w:type="dxa"/>
            <w:shd w:val="clear" w:color="auto" w:fill="FFFFFF" w:themeFill="background1"/>
          </w:tcPr>
          <w:p w14:paraId="58D3DAA1" w14:textId="77777777" w:rsidR="0021157D" w:rsidRPr="00291091" w:rsidRDefault="0021157D" w:rsidP="00236715">
            <w:pPr>
              <w:jc w:val="center"/>
              <w:rPr>
                <w:b/>
                <w:bCs/>
                <w:sz w:val="20"/>
                <w:szCs w:val="20"/>
              </w:rPr>
            </w:pPr>
            <w:r w:rsidRPr="5BE6DD8F">
              <w:rPr>
                <w:b/>
                <w:bCs/>
                <w:sz w:val="20"/>
                <w:szCs w:val="20"/>
              </w:rPr>
              <w:t>All</w:t>
            </w:r>
          </w:p>
        </w:tc>
        <w:tc>
          <w:tcPr>
            <w:tcW w:w="966" w:type="dxa"/>
            <w:shd w:val="clear" w:color="auto" w:fill="FFFFFF" w:themeFill="background1"/>
          </w:tcPr>
          <w:p w14:paraId="527749EC" w14:textId="77777777" w:rsidR="0021157D" w:rsidRPr="00C903B7" w:rsidRDefault="0021157D" w:rsidP="00236715">
            <w:pPr>
              <w:jc w:val="center"/>
              <w:rPr>
                <w:sz w:val="20"/>
                <w:szCs w:val="20"/>
              </w:rPr>
            </w:pPr>
            <w:r w:rsidRPr="5BE6DD8F">
              <w:rPr>
                <w:sz w:val="20"/>
                <w:szCs w:val="20"/>
              </w:rPr>
              <w:t>Men</w:t>
            </w:r>
          </w:p>
        </w:tc>
        <w:tc>
          <w:tcPr>
            <w:tcW w:w="988" w:type="dxa"/>
            <w:shd w:val="clear" w:color="auto" w:fill="FFFFFF" w:themeFill="background1"/>
          </w:tcPr>
          <w:p w14:paraId="455BD11B" w14:textId="77777777" w:rsidR="0021157D" w:rsidRPr="00C903B7" w:rsidRDefault="0021157D" w:rsidP="00236715">
            <w:pPr>
              <w:jc w:val="center"/>
              <w:rPr>
                <w:sz w:val="20"/>
                <w:szCs w:val="20"/>
              </w:rPr>
            </w:pPr>
            <w:r w:rsidRPr="5BE6DD8F">
              <w:rPr>
                <w:sz w:val="20"/>
                <w:szCs w:val="20"/>
              </w:rPr>
              <w:t>Women</w:t>
            </w:r>
          </w:p>
        </w:tc>
        <w:tc>
          <w:tcPr>
            <w:tcW w:w="1065" w:type="dxa"/>
            <w:shd w:val="clear" w:color="auto" w:fill="FFFFFF" w:themeFill="background1"/>
          </w:tcPr>
          <w:p w14:paraId="6E71C1A3" w14:textId="77777777" w:rsidR="0021157D" w:rsidRPr="00291091" w:rsidRDefault="0021157D" w:rsidP="00236715">
            <w:pPr>
              <w:jc w:val="center"/>
              <w:rPr>
                <w:b/>
                <w:bCs/>
                <w:sz w:val="20"/>
                <w:szCs w:val="20"/>
              </w:rPr>
            </w:pPr>
            <w:r w:rsidRPr="5BE6DD8F">
              <w:rPr>
                <w:b/>
                <w:bCs/>
                <w:sz w:val="20"/>
                <w:szCs w:val="20"/>
              </w:rPr>
              <w:t>All</w:t>
            </w:r>
          </w:p>
        </w:tc>
      </w:tr>
      <w:tr w:rsidR="00DB4DD4" w:rsidRPr="00C903B7" w14:paraId="7E7C72AB" w14:textId="77777777" w:rsidTr="5BE6DD8F">
        <w:trPr>
          <w:trHeight w:val="554"/>
          <w:jc w:val="center"/>
        </w:trPr>
        <w:tc>
          <w:tcPr>
            <w:tcW w:w="3027" w:type="dxa"/>
            <w:shd w:val="clear" w:color="auto" w:fill="F2F2F2" w:themeFill="background1" w:themeFillShade="F2"/>
          </w:tcPr>
          <w:p w14:paraId="35219A1B" w14:textId="77777777" w:rsidR="00873333" w:rsidRPr="00337B00" w:rsidRDefault="00873333" w:rsidP="00236715">
            <w:pPr>
              <w:jc w:val="right"/>
              <w:rPr>
                <w:b/>
                <w:bCs/>
                <w:sz w:val="20"/>
                <w:szCs w:val="20"/>
              </w:rPr>
            </w:pPr>
            <w:r w:rsidRPr="5BE6DD8F">
              <w:rPr>
                <w:b/>
                <w:bCs/>
                <w:sz w:val="20"/>
                <w:szCs w:val="20"/>
              </w:rPr>
              <w:t>Sexual Assault (including attempted offences)</w:t>
            </w:r>
          </w:p>
        </w:tc>
        <w:tc>
          <w:tcPr>
            <w:tcW w:w="881" w:type="dxa"/>
            <w:shd w:val="clear" w:color="auto" w:fill="F2F2F2" w:themeFill="background1" w:themeFillShade="F2"/>
          </w:tcPr>
          <w:p w14:paraId="6521CAAF" w14:textId="77777777" w:rsidR="00873333" w:rsidRPr="00545AFB" w:rsidRDefault="00873333" w:rsidP="00236715">
            <w:pPr>
              <w:jc w:val="center"/>
              <w:rPr>
                <w:sz w:val="20"/>
                <w:szCs w:val="20"/>
              </w:rPr>
            </w:pPr>
          </w:p>
          <w:p w14:paraId="5C698359" w14:textId="77777777" w:rsidR="00873333" w:rsidRPr="00545AFB" w:rsidRDefault="00873333" w:rsidP="00236715">
            <w:pPr>
              <w:jc w:val="center"/>
              <w:rPr>
                <w:sz w:val="20"/>
                <w:szCs w:val="20"/>
              </w:rPr>
            </w:pPr>
            <w:r w:rsidRPr="5BE6DD8F">
              <w:rPr>
                <w:sz w:val="20"/>
                <w:szCs w:val="20"/>
              </w:rPr>
              <w:t>1,873</w:t>
            </w:r>
          </w:p>
        </w:tc>
        <w:tc>
          <w:tcPr>
            <w:tcW w:w="988" w:type="dxa"/>
            <w:shd w:val="clear" w:color="auto" w:fill="F2F2F2" w:themeFill="background1" w:themeFillShade="F2"/>
          </w:tcPr>
          <w:p w14:paraId="56E0DD20" w14:textId="77777777" w:rsidR="00873333" w:rsidRDefault="00873333" w:rsidP="00236715">
            <w:pPr>
              <w:jc w:val="center"/>
              <w:rPr>
                <w:sz w:val="20"/>
                <w:szCs w:val="20"/>
              </w:rPr>
            </w:pPr>
          </w:p>
          <w:p w14:paraId="0B8FEEC4" w14:textId="77777777" w:rsidR="00873333" w:rsidRPr="00F46AE8" w:rsidRDefault="00873333" w:rsidP="00236715">
            <w:pPr>
              <w:jc w:val="center"/>
              <w:rPr>
                <w:sz w:val="20"/>
                <w:szCs w:val="20"/>
              </w:rPr>
            </w:pPr>
            <w:r w:rsidRPr="5BE6DD8F">
              <w:rPr>
                <w:sz w:val="20"/>
                <w:szCs w:val="20"/>
              </w:rPr>
              <w:t>6,693</w:t>
            </w:r>
          </w:p>
        </w:tc>
        <w:tc>
          <w:tcPr>
            <w:tcW w:w="1005" w:type="dxa"/>
            <w:shd w:val="clear" w:color="auto" w:fill="F2F2F2" w:themeFill="background1" w:themeFillShade="F2"/>
          </w:tcPr>
          <w:p w14:paraId="2BC79C63" w14:textId="77777777" w:rsidR="00873333" w:rsidRPr="00545AFB" w:rsidRDefault="00873333" w:rsidP="00236715">
            <w:pPr>
              <w:jc w:val="center"/>
              <w:rPr>
                <w:b/>
                <w:bCs/>
                <w:sz w:val="20"/>
                <w:szCs w:val="20"/>
              </w:rPr>
            </w:pPr>
          </w:p>
          <w:p w14:paraId="23C74ADF" w14:textId="77777777" w:rsidR="00873333" w:rsidRPr="00545AFB" w:rsidRDefault="00873333" w:rsidP="00236715">
            <w:pPr>
              <w:jc w:val="center"/>
              <w:rPr>
                <w:b/>
                <w:bCs/>
                <w:sz w:val="20"/>
                <w:szCs w:val="20"/>
              </w:rPr>
            </w:pPr>
            <w:r w:rsidRPr="5BE6DD8F">
              <w:rPr>
                <w:b/>
                <w:bCs/>
                <w:sz w:val="20"/>
                <w:szCs w:val="20"/>
              </w:rPr>
              <w:t>8,762</w:t>
            </w:r>
          </w:p>
        </w:tc>
        <w:tc>
          <w:tcPr>
            <w:tcW w:w="966" w:type="dxa"/>
            <w:shd w:val="clear" w:color="auto" w:fill="F2F2F2" w:themeFill="background1" w:themeFillShade="F2"/>
          </w:tcPr>
          <w:p w14:paraId="2F901CBD" w14:textId="77777777" w:rsidR="00873333" w:rsidRDefault="00873333" w:rsidP="00236715">
            <w:pPr>
              <w:jc w:val="center"/>
              <w:rPr>
                <w:sz w:val="20"/>
                <w:szCs w:val="20"/>
              </w:rPr>
            </w:pPr>
          </w:p>
          <w:p w14:paraId="46AB3C53" w14:textId="77777777" w:rsidR="00873333" w:rsidRDefault="00873333" w:rsidP="00236715">
            <w:pPr>
              <w:jc w:val="center"/>
              <w:rPr>
                <w:sz w:val="20"/>
                <w:szCs w:val="20"/>
              </w:rPr>
            </w:pPr>
            <w:r w:rsidRPr="5BE6DD8F">
              <w:rPr>
                <w:sz w:val="20"/>
                <w:szCs w:val="20"/>
              </w:rPr>
              <w:t>11,860</w:t>
            </w:r>
          </w:p>
          <w:p w14:paraId="323628CD" w14:textId="77777777" w:rsidR="00873333" w:rsidRPr="00545AFB" w:rsidRDefault="00873333" w:rsidP="00236715">
            <w:pPr>
              <w:jc w:val="center"/>
              <w:rPr>
                <w:sz w:val="20"/>
                <w:szCs w:val="20"/>
              </w:rPr>
            </w:pPr>
          </w:p>
        </w:tc>
        <w:tc>
          <w:tcPr>
            <w:tcW w:w="988" w:type="dxa"/>
            <w:shd w:val="clear" w:color="auto" w:fill="F2F2F2" w:themeFill="background1" w:themeFillShade="F2"/>
          </w:tcPr>
          <w:p w14:paraId="62C8027C" w14:textId="77777777" w:rsidR="00873333" w:rsidRDefault="00873333" w:rsidP="00236715">
            <w:pPr>
              <w:jc w:val="center"/>
              <w:rPr>
                <w:sz w:val="20"/>
                <w:szCs w:val="20"/>
              </w:rPr>
            </w:pPr>
          </w:p>
          <w:p w14:paraId="2E1429DD" w14:textId="77777777" w:rsidR="00873333" w:rsidRPr="00545AFB" w:rsidRDefault="00873333" w:rsidP="00236715">
            <w:pPr>
              <w:jc w:val="center"/>
              <w:rPr>
                <w:sz w:val="20"/>
                <w:szCs w:val="20"/>
              </w:rPr>
            </w:pPr>
            <w:r w:rsidRPr="5BE6DD8F">
              <w:rPr>
                <w:sz w:val="20"/>
                <w:szCs w:val="20"/>
              </w:rPr>
              <w:t>56,472</w:t>
            </w:r>
          </w:p>
        </w:tc>
        <w:tc>
          <w:tcPr>
            <w:tcW w:w="1065" w:type="dxa"/>
            <w:shd w:val="clear" w:color="auto" w:fill="F2F2F2" w:themeFill="background1" w:themeFillShade="F2"/>
          </w:tcPr>
          <w:p w14:paraId="5696BC74" w14:textId="77777777" w:rsidR="00873333" w:rsidRDefault="00873333" w:rsidP="00236715">
            <w:pPr>
              <w:jc w:val="center"/>
              <w:rPr>
                <w:sz w:val="20"/>
                <w:szCs w:val="20"/>
              </w:rPr>
            </w:pPr>
          </w:p>
          <w:p w14:paraId="6FC89EAE" w14:textId="77777777" w:rsidR="00873333" w:rsidRPr="001B35A0" w:rsidRDefault="00873333" w:rsidP="00236715">
            <w:pPr>
              <w:jc w:val="center"/>
              <w:rPr>
                <w:b/>
                <w:bCs/>
                <w:sz w:val="20"/>
                <w:szCs w:val="20"/>
              </w:rPr>
            </w:pPr>
            <w:r w:rsidRPr="5BE6DD8F">
              <w:rPr>
                <w:b/>
                <w:bCs/>
                <w:sz w:val="20"/>
                <w:szCs w:val="20"/>
              </w:rPr>
              <w:t>69,261</w:t>
            </w:r>
          </w:p>
        </w:tc>
      </w:tr>
      <w:tr w:rsidR="00DB4DD4" w:rsidRPr="00C903B7" w14:paraId="4802EE94" w14:textId="77777777" w:rsidTr="5BE6DD8F">
        <w:trPr>
          <w:trHeight w:val="492"/>
          <w:jc w:val="center"/>
        </w:trPr>
        <w:tc>
          <w:tcPr>
            <w:tcW w:w="3027" w:type="dxa"/>
            <w:shd w:val="clear" w:color="auto" w:fill="FFFFFF" w:themeFill="background1"/>
          </w:tcPr>
          <w:p w14:paraId="6E8AC8E2" w14:textId="4A515646" w:rsidR="00873333" w:rsidRPr="000675C0" w:rsidRDefault="00873333" w:rsidP="00CC1B1D">
            <w:pPr>
              <w:jc w:val="right"/>
              <w:rPr>
                <w:rFonts w:ascii="Calibri" w:hAnsi="Calibri" w:cs="Calibri"/>
                <w:sz w:val="20"/>
                <w:szCs w:val="20"/>
              </w:rPr>
            </w:pPr>
            <w:r w:rsidRPr="5BE6DD8F">
              <w:rPr>
                <w:rFonts w:ascii="Calibri" w:hAnsi="Calibri" w:cs="Calibri"/>
                <w:sz w:val="20"/>
                <w:szCs w:val="20"/>
              </w:rPr>
              <w:t>Rape or assault by penetration (including attempts)</w:t>
            </w:r>
          </w:p>
        </w:tc>
        <w:tc>
          <w:tcPr>
            <w:tcW w:w="881" w:type="dxa"/>
            <w:shd w:val="clear" w:color="auto" w:fill="FFFFFF" w:themeFill="background1"/>
          </w:tcPr>
          <w:p w14:paraId="5D49822E" w14:textId="77777777" w:rsidR="00873333" w:rsidRDefault="00873333" w:rsidP="00236715">
            <w:pPr>
              <w:jc w:val="center"/>
              <w:rPr>
                <w:sz w:val="20"/>
                <w:szCs w:val="20"/>
              </w:rPr>
            </w:pPr>
          </w:p>
          <w:p w14:paraId="6814171E" w14:textId="77777777" w:rsidR="00873333" w:rsidRPr="00545AFB" w:rsidRDefault="00873333" w:rsidP="00236715">
            <w:pPr>
              <w:jc w:val="center"/>
              <w:rPr>
                <w:sz w:val="20"/>
                <w:szCs w:val="20"/>
              </w:rPr>
            </w:pPr>
            <w:r w:rsidRPr="5BE6DD8F">
              <w:rPr>
                <w:sz w:val="20"/>
                <w:szCs w:val="20"/>
              </w:rPr>
              <w:t>-</w:t>
            </w:r>
          </w:p>
        </w:tc>
        <w:tc>
          <w:tcPr>
            <w:tcW w:w="988" w:type="dxa"/>
            <w:shd w:val="clear" w:color="auto" w:fill="FFFFFF" w:themeFill="background1"/>
          </w:tcPr>
          <w:p w14:paraId="65C7D621" w14:textId="77777777" w:rsidR="00873333" w:rsidRDefault="00873333" w:rsidP="00236715">
            <w:pPr>
              <w:jc w:val="center"/>
              <w:rPr>
                <w:sz w:val="20"/>
                <w:szCs w:val="20"/>
              </w:rPr>
            </w:pPr>
          </w:p>
          <w:p w14:paraId="3E6E8FF9" w14:textId="77777777" w:rsidR="00873333" w:rsidRPr="00F46AE8" w:rsidRDefault="00873333" w:rsidP="00236715">
            <w:pPr>
              <w:jc w:val="center"/>
              <w:rPr>
                <w:sz w:val="20"/>
                <w:szCs w:val="20"/>
              </w:rPr>
            </w:pPr>
            <w:r w:rsidRPr="5BE6DD8F">
              <w:rPr>
                <w:sz w:val="20"/>
                <w:szCs w:val="20"/>
              </w:rPr>
              <w:t>2,301</w:t>
            </w:r>
          </w:p>
        </w:tc>
        <w:tc>
          <w:tcPr>
            <w:tcW w:w="1005" w:type="dxa"/>
            <w:shd w:val="clear" w:color="auto" w:fill="FFFFFF" w:themeFill="background1"/>
          </w:tcPr>
          <w:p w14:paraId="32961115" w14:textId="77777777" w:rsidR="00873333" w:rsidRDefault="00873333" w:rsidP="00236715">
            <w:pPr>
              <w:jc w:val="center"/>
              <w:rPr>
                <w:b/>
                <w:bCs/>
                <w:sz w:val="20"/>
                <w:szCs w:val="20"/>
              </w:rPr>
            </w:pPr>
          </w:p>
          <w:p w14:paraId="421A335D" w14:textId="77777777" w:rsidR="00873333" w:rsidRPr="00545AFB" w:rsidRDefault="00873333" w:rsidP="00236715">
            <w:pPr>
              <w:jc w:val="center"/>
              <w:rPr>
                <w:b/>
                <w:bCs/>
                <w:sz w:val="20"/>
                <w:szCs w:val="20"/>
              </w:rPr>
            </w:pPr>
            <w:r w:rsidRPr="5BE6DD8F">
              <w:rPr>
                <w:b/>
                <w:bCs/>
                <w:sz w:val="20"/>
                <w:szCs w:val="20"/>
              </w:rPr>
              <w:t>2,503</w:t>
            </w:r>
          </w:p>
        </w:tc>
        <w:tc>
          <w:tcPr>
            <w:tcW w:w="966" w:type="dxa"/>
            <w:shd w:val="clear" w:color="auto" w:fill="FFFFFF" w:themeFill="background1"/>
          </w:tcPr>
          <w:p w14:paraId="02313D5F" w14:textId="77777777" w:rsidR="00873333" w:rsidRDefault="00873333" w:rsidP="00236715">
            <w:pPr>
              <w:jc w:val="center"/>
              <w:rPr>
                <w:sz w:val="20"/>
                <w:szCs w:val="20"/>
              </w:rPr>
            </w:pPr>
          </w:p>
          <w:p w14:paraId="360C1D09" w14:textId="77777777" w:rsidR="00873333" w:rsidRDefault="00873333" w:rsidP="00236715">
            <w:pPr>
              <w:jc w:val="center"/>
              <w:rPr>
                <w:sz w:val="20"/>
                <w:szCs w:val="20"/>
              </w:rPr>
            </w:pPr>
            <w:r w:rsidRPr="5BE6DD8F">
              <w:rPr>
                <w:sz w:val="20"/>
                <w:szCs w:val="20"/>
              </w:rPr>
              <w:t>-</w:t>
            </w:r>
          </w:p>
          <w:p w14:paraId="09C2AC9B" w14:textId="77777777" w:rsidR="00873333" w:rsidRDefault="00873333" w:rsidP="00236715">
            <w:pPr>
              <w:jc w:val="center"/>
              <w:rPr>
                <w:sz w:val="20"/>
                <w:szCs w:val="20"/>
              </w:rPr>
            </w:pPr>
          </w:p>
        </w:tc>
        <w:tc>
          <w:tcPr>
            <w:tcW w:w="988" w:type="dxa"/>
            <w:shd w:val="clear" w:color="auto" w:fill="FFFFFF" w:themeFill="background1"/>
          </w:tcPr>
          <w:p w14:paraId="0C64619F" w14:textId="77777777" w:rsidR="00873333" w:rsidRDefault="00873333" w:rsidP="00236715">
            <w:pPr>
              <w:jc w:val="center"/>
              <w:rPr>
                <w:sz w:val="20"/>
                <w:szCs w:val="20"/>
              </w:rPr>
            </w:pPr>
          </w:p>
          <w:p w14:paraId="0201C3CB" w14:textId="77777777" w:rsidR="00873333" w:rsidRDefault="00873333" w:rsidP="00236715">
            <w:pPr>
              <w:jc w:val="center"/>
              <w:rPr>
                <w:sz w:val="20"/>
                <w:szCs w:val="20"/>
              </w:rPr>
            </w:pPr>
            <w:r w:rsidRPr="5BE6DD8F">
              <w:rPr>
                <w:sz w:val="20"/>
                <w:szCs w:val="20"/>
              </w:rPr>
              <w:t>18,196</w:t>
            </w:r>
          </w:p>
        </w:tc>
        <w:tc>
          <w:tcPr>
            <w:tcW w:w="1065" w:type="dxa"/>
            <w:shd w:val="clear" w:color="auto" w:fill="FFFFFF" w:themeFill="background1"/>
          </w:tcPr>
          <w:p w14:paraId="18C0EA9C" w14:textId="77777777" w:rsidR="00873333" w:rsidRDefault="00873333" w:rsidP="00236715">
            <w:pPr>
              <w:jc w:val="center"/>
              <w:rPr>
                <w:sz w:val="20"/>
                <w:szCs w:val="20"/>
              </w:rPr>
            </w:pPr>
          </w:p>
          <w:p w14:paraId="3BF52E6D" w14:textId="77777777" w:rsidR="00873333" w:rsidRPr="001528F2" w:rsidRDefault="00873333" w:rsidP="00236715">
            <w:pPr>
              <w:jc w:val="center"/>
              <w:rPr>
                <w:b/>
                <w:bCs/>
                <w:sz w:val="20"/>
                <w:szCs w:val="20"/>
              </w:rPr>
            </w:pPr>
            <w:r w:rsidRPr="5BE6DD8F">
              <w:rPr>
                <w:b/>
                <w:bCs/>
                <w:sz w:val="20"/>
                <w:szCs w:val="20"/>
              </w:rPr>
              <w:t>19,610</w:t>
            </w:r>
          </w:p>
        </w:tc>
      </w:tr>
      <w:tr w:rsidR="00DB4DD4" w:rsidRPr="000675C0" w14:paraId="5DEB79F7" w14:textId="77777777" w:rsidTr="5BE6DD8F">
        <w:trPr>
          <w:trHeight w:val="420"/>
          <w:jc w:val="center"/>
        </w:trPr>
        <w:tc>
          <w:tcPr>
            <w:tcW w:w="3027" w:type="dxa"/>
            <w:shd w:val="clear" w:color="auto" w:fill="FFFFFF" w:themeFill="background1"/>
          </w:tcPr>
          <w:p w14:paraId="33877B95" w14:textId="77777777" w:rsidR="00873333" w:rsidRPr="000675C0" w:rsidRDefault="00873333" w:rsidP="00236715">
            <w:pPr>
              <w:jc w:val="right"/>
              <w:rPr>
                <w:rFonts w:ascii="Calibri" w:hAnsi="Calibri" w:cs="Calibri"/>
                <w:sz w:val="20"/>
                <w:szCs w:val="20"/>
              </w:rPr>
            </w:pPr>
            <w:r w:rsidRPr="5BE6DD8F">
              <w:rPr>
                <w:rFonts w:ascii="Calibri" w:hAnsi="Calibri" w:cs="Calibri"/>
                <w:sz w:val="20"/>
                <w:szCs w:val="20"/>
              </w:rPr>
              <w:t>Indecent exposure or unwanted sexual touching</w:t>
            </w:r>
          </w:p>
          <w:p w14:paraId="6F9CD878" w14:textId="77777777" w:rsidR="00873333" w:rsidRPr="000675C0" w:rsidRDefault="00873333" w:rsidP="00236715">
            <w:pPr>
              <w:jc w:val="right"/>
              <w:rPr>
                <w:rFonts w:ascii="Calibri" w:hAnsi="Calibri" w:cs="Calibri"/>
                <w:sz w:val="20"/>
                <w:szCs w:val="20"/>
              </w:rPr>
            </w:pPr>
          </w:p>
        </w:tc>
        <w:tc>
          <w:tcPr>
            <w:tcW w:w="881" w:type="dxa"/>
            <w:shd w:val="clear" w:color="auto" w:fill="FFFFFF" w:themeFill="background1"/>
          </w:tcPr>
          <w:p w14:paraId="6F296F86" w14:textId="77777777" w:rsidR="00873333" w:rsidRDefault="00873333" w:rsidP="00236715">
            <w:pPr>
              <w:jc w:val="center"/>
              <w:rPr>
                <w:sz w:val="20"/>
                <w:szCs w:val="20"/>
              </w:rPr>
            </w:pPr>
          </w:p>
          <w:p w14:paraId="23A8524E" w14:textId="77777777" w:rsidR="00873333" w:rsidRDefault="00873333" w:rsidP="00236715">
            <w:pPr>
              <w:jc w:val="center"/>
              <w:rPr>
                <w:sz w:val="20"/>
                <w:szCs w:val="20"/>
              </w:rPr>
            </w:pPr>
            <w:r w:rsidRPr="5BE6DD8F">
              <w:rPr>
                <w:sz w:val="20"/>
                <w:szCs w:val="20"/>
              </w:rPr>
              <w:t>2,497</w:t>
            </w:r>
          </w:p>
          <w:p w14:paraId="0B6A4019" w14:textId="77777777" w:rsidR="00873333" w:rsidRPr="00545AFB" w:rsidRDefault="00873333" w:rsidP="00236715">
            <w:pPr>
              <w:jc w:val="center"/>
              <w:rPr>
                <w:sz w:val="20"/>
                <w:szCs w:val="20"/>
              </w:rPr>
            </w:pPr>
          </w:p>
        </w:tc>
        <w:tc>
          <w:tcPr>
            <w:tcW w:w="988" w:type="dxa"/>
            <w:shd w:val="clear" w:color="auto" w:fill="FFFFFF" w:themeFill="background1"/>
          </w:tcPr>
          <w:p w14:paraId="0629B6AF" w14:textId="77777777" w:rsidR="00873333" w:rsidRDefault="00873333" w:rsidP="00236715">
            <w:pPr>
              <w:jc w:val="center"/>
              <w:rPr>
                <w:sz w:val="20"/>
                <w:szCs w:val="20"/>
              </w:rPr>
            </w:pPr>
          </w:p>
          <w:p w14:paraId="09520283" w14:textId="77777777" w:rsidR="00873333" w:rsidRPr="00F46AE8" w:rsidRDefault="00873333" w:rsidP="00236715">
            <w:pPr>
              <w:jc w:val="center"/>
              <w:rPr>
                <w:sz w:val="20"/>
                <w:szCs w:val="20"/>
              </w:rPr>
            </w:pPr>
            <w:r w:rsidRPr="5BE6DD8F">
              <w:rPr>
                <w:sz w:val="20"/>
                <w:szCs w:val="20"/>
              </w:rPr>
              <w:t>5,647</w:t>
            </w:r>
          </w:p>
        </w:tc>
        <w:tc>
          <w:tcPr>
            <w:tcW w:w="1005" w:type="dxa"/>
            <w:shd w:val="clear" w:color="auto" w:fill="FFFFFF" w:themeFill="background1"/>
          </w:tcPr>
          <w:p w14:paraId="2A371224" w14:textId="77777777" w:rsidR="00873333" w:rsidRDefault="00873333" w:rsidP="00236715">
            <w:pPr>
              <w:jc w:val="center"/>
              <w:rPr>
                <w:b/>
                <w:bCs/>
                <w:sz w:val="20"/>
                <w:szCs w:val="20"/>
              </w:rPr>
            </w:pPr>
          </w:p>
          <w:p w14:paraId="1DBFAB8C" w14:textId="77777777" w:rsidR="00873333" w:rsidRDefault="00873333" w:rsidP="00236715">
            <w:pPr>
              <w:jc w:val="center"/>
              <w:rPr>
                <w:b/>
                <w:bCs/>
                <w:sz w:val="20"/>
                <w:szCs w:val="20"/>
              </w:rPr>
            </w:pPr>
            <w:r w:rsidRPr="5BE6DD8F">
              <w:rPr>
                <w:b/>
                <w:bCs/>
                <w:sz w:val="20"/>
                <w:szCs w:val="20"/>
              </w:rPr>
              <w:t>7,927</w:t>
            </w:r>
          </w:p>
          <w:p w14:paraId="5D24E3BD" w14:textId="77777777" w:rsidR="00873333" w:rsidRPr="00545AFB" w:rsidRDefault="00873333" w:rsidP="00236715">
            <w:pPr>
              <w:rPr>
                <w:b/>
                <w:bCs/>
                <w:sz w:val="20"/>
                <w:szCs w:val="20"/>
              </w:rPr>
            </w:pPr>
          </w:p>
        </w:tc>
        <w:tc>
          <w:tcPr>
            <w:tcW w:w="966" w:type="dxa"/>
            <w:shd w:val="clear" w:color="auto" w:fill="FFFFFF" w:themeFill="background1"/>
          </w:tcPr>
          <w:p w14:paraId="6B41A73E" w14:textId="77777777" w:rsidR="00873333" w:rsidRDefault="00873333" w:rsidP="00236715">
            <w:pPr>
              <w:jc w:val="center"/>
              <w:rPr>
                <w:sz w:val="20"/>
                <w:szCs w:val="20"/>
              </w:rPr>
            </w:pPr>
          </w:p>
          <w:p w14:paraId="50B9F0B4" w14:textId="77777777" w:rsidR="00873333" w:rsidRDefault="00873333" w:rsidP="00236715">
            <w:pPr>
              <w:jc w:val="center"/>
              <w:rPr>
                <w:sz w:val="20"/>
                <w:szCs w:val="20"/>
              </w:rPr>
            </w:pPr>
            <w:r w:rsidRPr="5BE6DD8F">
              <w:rPr>
                <w:sz w:val="20"/>
                <w:szCs w:val="20"/>
              </w:rPr>
              <w:t>33,084</w:t>
            </w:r>
          </w:p>
        </w:tc>
        <w:tc>
          <w:tcPr>
            <w:tcW w:w="988" w:type="dxa"/>
            <w:shd w:val="clear" w:color="auto" w:fill="FFFFFF" w:themeFill="background1"/>
          </w:tcPr>
          <w:p w14:paraId="08541AE9" w14:textId="77777777" w:rsidR="00873333" w:rsidRDefault="00873333" w:rsidP="00236715">
            <w:pPr>
              <w:jc w:val="center"/>
              <w:rPr>
                <w:sz w:val="20"/>
                <w:szCs w:val="20"/>
              </w:rPr>
            </w:pPr>
          </w:p>
          <w:p w14:paraId="1D99173E" w14:textId="77777777" w:rsidR="00873333" w:rsidRDefault="00873333" w:rsidP="00236715">
            <w:pPr>
              <w:jc w:val="center"/>
              <w:rPr>
                <w:sz w:val="20"/>
                <w:szCs w:val="20"/>
              </w:rPr>
            </w:pPr>
            <w:r w:rsidRPr="5BE6DD8F">
              <w:rPr>
                <w:sz w:val="20"/>
                <w:szCs w:val="20"/>
              </w:rPr>
              <w:t>53,753</w:t>
            </w:r>
          </w:p>
          <w:p w14:paraId="151D5AA7" w14:textId="77777777" w:rsidR="00873333" w:rsidRDefault="00873333" w:rsidP="00236715">
            <w:pPr>
              <w:jc w:val="center"/>
              <w:rPr>
                <w:sz w:val="20"/>
                <w:szCs w:val="20"/>
              </w:rPr>
            </w:pPr>
          </w:p>
        </w:tc>
        <w:tc>
          <w:tcPr>
            <w:tcW w:w="1065" w:type="dxa"/>
            <w:shd w:val="clear" w:color="auto" w:fill="FFFFFF" w:themeFill="background1"/>
          </w:tcPr>
          <w:p w14:paraId="222B63D4" w14:textId="77777777" w:rsidR="00873333" w:rsidRDefault="00873333" w:rsidP="00236715">
            <w:pPr>
              <w:jc w:val="center"/>
              <w:rPr>
                <w:sz w:val="20"/>
                <w:szCs w:val="20"/>
              </w:rPr>
            </w:pPr>
          </w:p>
          <w:p w14:paraId="75A18777" w14:textId="77777777" w:rsidR="00873333" w:rsidRPr="00665019" w:rsidRDefault="00873333" w:rsidP="00236715">
            <w:pPr>
              <w:jc w:val="center"/>
              <w:rPr>
                <w:b/>
                <w:bCs/>
                <w:sz w:val="20"/>
                <w:szCs w:val="20"/>
              </w:rPr>
            </w:pPr>
            <w:r w:rsidRPr="5BE6DD8F">
              <w:rPr>
                <w:b/>
                <w:bCs/>
                <w:sz w:val="20"/>
                <w:szCs w:val="20"/>
              </w:rPr>
              <w:t>23,365</w:t>
            </w:r>
          </w:p>
          <w:p w14:paraId="50D6DD0F" w14:textId="77777777" w:rsidR="00873333" w:rsidRPr="007C38AB" w:rsidRDefault="00873333" w:rsidP="00236715">
            <w:pPr>
              <w:jc w:val="center"/>
              <w:rPr>
                <w:b/>
                <w:bCs/>
                <w:sz w:val="20"/>
                <w:szCs w:val="20"/>
              </w:rPr>
            </w:pPr>
          </w:p>
        </w:tc>
      </w:tr>
    </w:tbl>
    <w:p w14:paraId="3CEE90F9" w14:textId="13144BA1" w:rsidR="00CC1B1D" w:rsidRDefault="00CC1B1D" w:rsidP="5BE6DD8F">
      <w:pPr>
        <w:rPr>
          <w:rFonts w:asciiTheme="majorHAnsi" w:hAnsiTheme="majorHAnsi" w:cstheme="majorBidi"/>
          <w:b/>
          <w:bCs/>
        </w:rPr>
      </w:pPr>
      <w:r w:rsidRPr="5BE6DD8F">
        <w:rPr>
          <w:rFonts w:asciiTheme="majorHAnsi" w:hAnsiTheme="majorHAnsi" w:cstheme="majorBidi"/>
          <w:b/>
          <w:bCs/>
        </w:rPr>
        <w:t xml:space="preserve">Table 3: Sheffield estimates for sexual assault including attempted offences. </w:t>
      </w:r>
    </w:p>
    <w:p w14:paraId="071BDA27" w14:textId="77777777" w:rsidR="008E3EC3" w:rsidRDefault="008E3EC3" w:rsidP="5BE6DD8F">
      <w:pPr>
        <w:rPr>
          <w:rFonts w:asciiTheme="majorHAnsi" w:hAnsiTheme="majorHAnsi" w:cstheme="majorBidi"/>
          <w:b/>
          <w:bCs/>
        </w:rPr>
      </w:pPr>
    </w:p>
    <w:p w14:paraId="7D4B697D" w14:textId="77777777" w:rsidR="008E3EC3" w:rsidRDefault="008E3EC3" w:rsidP="5BE6DD8F">
      <w:pPr>
        <w:rPr>
          <w:rFonts w:asciiTheme="majorHAnsi" w:hAnsiTheme="majorHAnsi" w:cstheme="majorBidi"/>
          <w:b/>
          <w:bCs/>
        </w:rPr>
      </w:pPr>
    </w:p>
    <w:p w14:paraId="0DB7C957" w14:textId="77777777" w:rsidR="008E3EC3" w:rsidRDefault="008E3EC3" w:rsidP="5BE6DD8F">
      <w:pPr>
        <w:rPr>
          <w:rFonts w:asciiTheme="majorHAnsi" w:hAnsiTheme="majorHAnsi" w:cstheme="majorBidi"/>
          <w:b/>
          <w:bCs/>
        </w:rPr>
      </w:pPr>
    </w:p>
    <w:p w14:paraId="33363727" w14:textId="77777777" w:rsidR="008E3EC3" w:rsidRDefault="008E3EC3" w:rsidP="5BE6DD8F">
      <w:pPr>
        <w:rPr>
          <w:rFonts w:asciiTheme="majorHAnsi" w:hAnsiTheme="majorHAnsi" w:cstheme="majorBidi"/>
          <w:b/>
          <w:bCs/>
        </w:rPr>
      </w:pPr>
    </w:p>
    <w:p w14:paraId="7DFBD8DC" w14:textId="33ECE9FB" w:rsidR="008E3EC3" w:rsidRDefault="008E3EC3" w:rsidP="5BE6DD8F">
      <w:pPr>
        <w:pStyle w:val="Style2"/>
      </w:pPr>
      <w:r w:rsidRPr="5BE6DD8F">
        <w:t>Additional data estimates around RASSO:</w:t>
      </w:r>
    </w:p>
    <w:p w14:paraId="41BB6D80" w14:textId="77777777" w:rsidR="008E3EC3" w:rsidRDefault="008E3EC3" w:rsidP="008E3EC3">
      <w:pPr>
        <w:pStyle w:val="ListParagraph"/>
        <w:numPr>
          <w:ilvl w:val="0"/>
          <w:numId w:val="25"/>
        </w:numPr>
        <w:spacing w:after="0" w:line="240" w:lineRule="auto"/>
        <w:textAlignment w:val="baseline"/>
        <w:rPr>
          <w:rFonts w:ascii="Calibri" w:eastAsia="Times New Roman" w:hAnsi="Calibri" w:cs="Calibri"/>
          <w:color w:val="333333"/>
          <w:kern w:val="0"/>
          <w:lang w:eastAsia="en-GB"/>
          <w14:ligatures w14:val="none"/>
        </w:rPr>
      </w:pPr>
      <w:r w:rsidRPr="00A43EFE">
        <w:rPr>
          <w:rFonts w:ascii="Calibri" w:eastAsia="Times New Roman" w:hAnsi="Calibri" w:cs="Calibri"/>
          <w:color w:val="333333"/>
          <w:kern w:val="0"/>
          <w:lang w:eastAsia="en-GB"/>
          <w14:ligatures w14:val="none"/>
        </w:rPr>
        <w:t>In a survey of over 1000 LGBT+ people, the charity Galop found that 77% of respondents had been sexually assaulted since the age of 18, with 52% of respondents having experienced sexual assault by penetration.</w:t>
      </w:r>
      <w:r w:rsidRPr="000B0BCB">
        <w:rPr>
          <w:rStyle w:val="FootnoteReference"/>
          <w:rFonts w:ascii="Calibri" w:eastAsia="Times New Roman" w:hAnsi="Calibri" w:cs="Calibri"/>
          <w:color w:val="333333"/>
          <w:kern w:val="0"/>
          <w:lang w:eastAsia="en-GB"/>
          <w14:ligatures w14:val="none"/>
        </w:rPr>
        <w:footnoteReference w:id="2"/>
      </w:r>
      <w:r w:rsidRPr="00A43EFE">
        <w:rPr>
          <w:rFonts w:ascii="Calibri" w:eastAsia="Times New Roman" w:hAnsi="Calibri" w:cs="Calibri"/>
          <w:color w:val="333333"/>
          <w:kern w:val="0"/>
          <w:lang w:eastAsia="en-GB"/>
          <w14:ligatures w14:val="none"/>
        </w:rPr>
        <w:t xml:space="preserve"> </w:t>
      </w:r>
    </w:p>
    <w:p w14:paraId="4E64B1D3" w14:textId="77777777" w:rsidR="008E3EC3" w:rsidRDefault="008E3EC3" w:rsidP="008E3EC3">
      <w:pPr>
        <w:pStyle w:val="ListParagraph"/>
        <w:numPr>
          <w:ilvl w:val="0"/>
          <w:numId w:val="25"/>
        </w:numPr>
        <w:spacing w:after="0" w:line="240" w:lineRule="auto"/>
        <w:textAlignment w:val="baseline"/>
        <w:rPr>
          <w:rFonts w:ascii="Calibri" w:eastAsia="Times New Roman" w:hAnsi="Calibri" w:cs="Calibri"/>
          <w:color w:val="333333"/>
          <w:kern w:val="0"/>
          <w:lang w:eastAsia="en-GB"/>
          <w14:ligatures w14:val="none"/>
        </w:rPr>
      </w:pPr>
      <w:r>
        <w:rPr>
          <w:rFonts w:ascii="Calibri" w:eastAsia="Times New Roman" w:hAnsi="Calibri" w:cs="Calibri"/>
          <w:color w:val="333333"/>
          <w:kern w:val="0"/>
          <w:lang w:eastAsia="en-GB"/>
          <w14:ligatures w14:val="none"/>
        </w:rPr>
        <w:t>Data from the CSEW showed that i</w:t>
      </w:r>
      <w:r w:rsidRPr="002A09F8">
        <w:rPr>
          <w:rFonts w:ascii="Calibri" w:eastAsia="Times New Roman" w:hAnsi="Calibri" w:cs="Calibri"/>
          <w:color w:val="333333"/>
          <w:kern w:val="0"/>
          <w:lang w:eastAsia="en-GB"/>
          <w14:ligatures w14:val="none"/>
        </w:rPr>
        <w:t>n the three years ending March 2018, disabled women were almost twice as likely to have experienced any sexual assault in the last year (5.7%) than non-disabled women (3.0%).</w:t>
      </w:r>
      <w:r>
        <w:rPr>
          <w:rStyle w:val="FootnoteReference"/>
          <w:rFonts w:ascii="Calibri" w:eastAsia="Times New Roman" w:hAnsi="Calibri" w:cs="Calibri"/>
          <w:color w:val="333333"/>
          <w:kern w:val="0"/>
          <w:lang w:eastAsia="en-GB"/>
          <w14:ligatures w14:val="none"/>
        </w:rPr>
        <w:footnoteReference w:id="3"/>
      </w:r>
    </w:p>
    <w:p w14:paraId="2ECA5E75" w14:textId="77777777" w:rsidR="002134C7" w:rsidRDefault="002134C7" w:rsidP="002134C7">
      <w:pPr>
        <w:pStyle w:val="Style2"/>
      </w:pPr>
    </w:p>
    <w:p w14:paraId="388BEA3B" w14:textId="1A725242" w:rsidR="00227581" w:rsidRPr="00227581" w:rsidRDefault="007870EA" w:rsidP="002134C7">
      <w:pPr>
        <w:pStyle w:val="Style2"/>
      </w:pPr>
      <w:r>
        <w:t xml:space="preserve">National </w:t>
      </w:r>
      <w:r w:rsidR="00227581">
        <w:t xml:space="preserve">police </w:t>
      </w:r>
      <w:r>
        <w:t>d</w:t>
      </w:r>
      <w:r w:rsidR="00D41691">
        <w:t>ata</w:t>
      </w:r>
      <w:r w:rsidR="00E97636">
        <w:t>, year ending September 2023:</w:t>
      </w:r>
    </w:p>
    <w:p w14:paraId="11DD094B" w14:textId="77777777" w:rsidR="0021511C" w:rsidRPr="00557B3B" w:rsidRDefault="0021511C" w:rsidP="00B67805">
      <w:pPr>
        <w:pStyle w:val="ListParagraph"/>
        <w:numPr>
          <w:ilvl w:val="0"/>
          <w:numId w:val="3"/>
        </w:numPr>
        <w:spacing w:line="256" w:lineRule="auto"/>
        <w:rPr>
          <w:rFonts w:ascii="Calibri" w:hAnsi="Calibri" w:cs="Calibri"/>
        </w:rPr>
      </w:pPr>
      <w:r w:rsidRPr="00557B3B">
        <w:rPr>
          <w:rFonts w:ascii="Calibri" w:hAnsi="Calibri" w:cs="Calibri"/>
          <w:color w:val="323132"/>
          <w:shd w:val="clear" w:color="auto" w:fill="FFFFFF"/>
        </w:rPr>
        <w:t xml:space="preserve">There were 191,186 offences sexual offences recorded by the police in the year ending September 2023, 36% (67,938) were rape offences. </w:t>
      </w:r>
    </w:p>
    <w:p w14:paraId="67BA4A66" w14:textId="77777777" w:rsidR="0021511C" w:rsidRPr="00E97636" w:rsidRDefault="0021511C" w:rsidP="00B67805">
      <w:pPr>
        <w:pStyle w:val="ListParagraph"/>
        <w:numPr>
          <w:ilvl w:val="0"/>
          <w:numId w:val="3"/>
        </w:numPr>
        <w:spacing w:line="256" w:lineRule="auto"/>
        <w:rPr>
          <w:rFonts w:ascii="Calibri" w:hAnsi="Calibri" w:cs="Calibri"/>
        </w:rPr>
      </w:pPr>
      <w:r>
        <w:rPr>
          <w:rFonts w:ascii="Calibri" w:hAnsi="Calibri" w:cs="Calibri"/>
          <w:color w:val="323132"/>
          <w:shd w:val="clear" w:color="auto" w:fill="FFFFFF"/>
        </w:rPr>
        <w:t>The r</w:t>
      </w:r>
      <w:r w:rsidRPr="00557B3B">
        <w:rPr>
          <w:rFonts w:ascii="Calibri" w:hAnsi="Calibri" w:cs="Calibri"/>
          <w:color w:val="323132"/>
          <w:shd w:val="clear" w:color="auto" w:fill="FFFFFF"/>
        </w:rPr>
        <w:t>ate of sexual offences per 1,000 is 3.2</w:t>
      </w:r>
    </w:p>
    <w:p w14:paraId="1AF9263B" w14:textId="45E37921" w:rsidR="00E97636" w:rsidRDefault="00E97636" w:rsidP="007C41F7">
      <w:pPr>
        <w:pStyle w:val="Style2"/>
      </w:pPr>
      <w:r>
        <w:t>British Transport Police data, 2023:</w:t>
      </w:r>
    </w:p>
    <w:p w14:paraId="2BBCF64D" w14:textId="1687F651" w:rsidR="00E97636" w:rsidRPr="00E97636" w:rsidRDefault="00E97636" w:rsidP="00B67805">
      <w:pPr>
        <w:pStyle w:val="ListParagraph"/>
        <w:numPr>
          <w:ilvl w:val="0"/>
          <w:numId w:val="9"/>
        </w:numPr>
      </w:pPr>
      <w:r>
        <w:t>The British Transport Police recorded 2336 reported sexual offences in 2023</w:t>
      </w:r>
      <w:r>
        <w:rPr>
          <w:rStyle w:val="FootnoteReference"/>
        </w:rPr>
        <w:footnoteReference w:id="4"/>
      </w:r>
      <w:r>
        <w:t xml:space="preserve">. </w:t>
      </w:r>
    </w:p>
    <w:p w14:paraId="06566808" w14:textId="7CC40C2E" w:rsidR="0021511C" w:rsidRDefault="0021511C" w:rsidP="00E97636">
      <w:pPr>
        <w:pStyle w:val="Style2"/>
      </w:pPr>
      <w:r>
        <w:t>South Yorkshire Police</w:t>
      </w:r>
      <w:r w:rsidR="00E97636">
        <w:t xml:space="preserve"> data</w:t>
      </w:r>
      <w:r>
        <w:t>, year ending September 2023:</w:t>
      </w:r>
    </w:p>
    <w:p w14:paraId="3BE1A850" w14:textId="77777777" w:rsidR="0021511C" w:rsidRPr="00C56F22" w:rsidRDefault="0021511C" w:rsidP="0021511C">
      <w:pPr>
        <w:pStyle w:val="Heading4"/>
      </w:pPr>
      <w:r>
        <w:t>Sexual assault data:</w:t>
      </w:r>
    </w:p>
    <w:p w14:paraId="5B02E1BF" w14:textId="77777777" w:rsidR="0021511C" w:rsidRDefault="0021511C" w:rsidP="5BE6DD8F">
      <w:pPr>
        <w:pStyle w:val="ListParagraph"/>
        <w:numPr>
          <w:ilvl w:val="0"/>
          <w:numId w:val="4"/>
        </w:numPr>
        <w:spacing w:line="256" w:lineRule="auto"/>
        <w:rPr>
          <w:rFonts w:eastAsia="Times New Roman"/>
          <w:color w:val="000000"/>
          <w:kern w:val="0"/>
          <w:lang w:eastAsia="en-GB"/>
          <w14:ligatures w14:val="none"/>
        </w:rPr>
      </w:pPr>
      <w:r w:rsidRPr="5BE6DD8F">
        <w:t xml:space="preserve">There were </w:t>
      </w:r>
      <w:r w:rsidRPr="5BE6DD8F">
        <w:rPr>
          <w:rFonts w:eastAsia="Times New Roman"/>
          <w:color w:val="000000"/>
          <w:kern w:val="0"/>
          <w:lang w:eastAsia="en-GB"/>
          <w14:ligatures w14:val="none"/>
        </w:rPr>
        <w:t xml:space="preserve">4,552 sexual offences recorded by SYP in the year ending September 2023. </w:t>
      </w:r>
    </w:p>
    <w:p w14:paraId="189B50AE" w14:textId="77777777" w:rsidR="0021511C" w:rsidRPr="00D42036" w:rsidRDefault="0021511C" w:rsidP="5BE6DD8F">
      <w:pPr>
        <w:pStyle w:val="ListParagraph"/>
        <w:numPr>
          <w:ilvl w:val="0"/>
          <w:numId w:val="4"/>
        </w:numPr>
        <w:spacing w:line="256" w:lineRule="auto"/>
      </w:pPr>
      <w:r w:rsidRPr="5BE6DD8F">
        <w:rPr>
          <w:color w:val="323132"/>
          <w:shd w:val="clear" w:color="auto" w:fill="FFFFFF"/>
        </w:rPr>
        <w:t xml:space="preserve">The rate of sexual offences per 1,000 is 3.3. </w:t>
      </w:r>
    </w:p>
    <w:p w14:paraId="6CD67C1C" w14:textId="0085F5CD" w:rsidR="0021511C" w:rsidRPr="0091486A" w:rsidRDefault="0021511C" w:rsidP="5BE6DD8F">
      <w:pPr>
        <w:pStyle w:val="ListParagraph"/>
        <w:numPr>
          <w:ilvl w:val="0"/>
          <w:numId w:val="4"/>
        </w:numPr>
        <w:spacing w:line="256" w:lineRule="auto"/>
      </w:pPr>
      <w:r w:rsidRPr="5BE6DD8F">
        <w:rPr>
          <w:color w:val="323132"/>
          <w:shd w:val="clear" w:color="auto" w:fill="FFFFFF"/>
        </w:rPr>
        <w:t>There were 850 recorded cases of adult rape in the year ending September 2023.</w:t>
      </w:r>
    </w:p>
    <w:p w14:paraId="39D57A3B" w14:textId="77777777" w:rsidR="00235D30" w:rsidRPr="00235D30" w:rsidRDefault="00235D30" w:rsidP="00235D30">
      <w:pPr>
        <w:spacing w:after="0" w:line="240" w:lineRule="auto"/>
        <w:textAlignment w:val="baseline"/>
        <w:rPr>
          <w:rFonts w:ascii="Calibri" w:eastAsia="Times New Roman" w:hAnsi="Calibri" w:cs="Calibri"/>
          <w:color w:val="333333"/>
          <w:kern w:val="0"/>
          <w:lang w:eastAsia="en-GB"/>
          <w14:ligatures w14:val="none"/>
        </w:rPr>
      </w:pPr>
    </w:p>
    <w:p w14:paraId="08A563B1" w14:textId="4BDCA73C" w:rsidR="00D56DB4" w:rsidRDefault="00D47944" w:rsidP="006607CB">
      <w:pPr>
        <w:pStyle w:val="Style2"/>
        <w:rPr>
          <w:rFonts w:eastAsia="Times New Roman"/>
          <w:lang w:eastAsia="en-GB"/>
        </w:rPr>
      </w:pPr>
      <w:r w:rsidRPr="5BE6DD8F">
        <w:rPr>
          <w:rFonts w:eastAsia="Times New Roman"/>
          <w:lang w:eastAsia="en-GB"/>
        </w:rPr>
        <w:t>Data from our public consultation surveys</w:t>
      </w:r>
      <w:r w:rsidR="00D56DB4" w:rsidRPr="5BE6DD8F">
        <w:rPr>
          <w:rFonts w:eastAsia="Times New Roman"/>
          <w:lang w:eastAsia="en-GB"/>
        </w:rPr>
        <w:t>:</w:t>
      </w:r>
    </w:p>
    <w:p w14:paraId="6B808F16" w14:textId="77777777" w:rsidR="00D3507B" w:rsidRDefault="00A8469C" w:rsidP="00A8469C">
      <w:pPr>
        <w:rPr>
          <w:lang w:eastAsia="en-GB"/>
        </w:rPr>
      </w:pPr>
      <w:r w:rsidRPr="5BE6DD8F">
        <w:rPr>
          <w:lang w:eastAsia="en-GB"/>
        </w:rPr>
        <w:t>Between 31</w:t>
      </w:r>
      <w:r w:rsidRPr="5BE6DD8F">
        <w:rPr>
          <w:vertAlign w:val="superscript"/>
          <w:lang w:eastAsia="en-GB"/>
        </w:rPr>
        <w:t>st</w:t>
      </w:r>
      <w:r w:rsidRPr="5BE6DD8F">
        <w:rPr>
          <w:lang w:eastAsia="en-GB"/>
        </w:rPr>
        <w:t xml:space="preserve"> May 2024- 15</w:t>
      </w:r>
      <w:r w:rsidRPr="5BE6DD8F">
        <w:rPr>
          <w:vertAlign w:val="superscript"/>
          <w:lang w:eastAsia="en-GB"/>
        </w:rPr>
        <w:t>th</w:t>
      </w:r>
      <w:r w:rsidRPr="5BE6DD8F">
        <w:rPr>
          <w:lang w:eastAsia="en-GB"/>
        </w:rPr>
        <w:t xml:space="preserve"> July 2024 the Domestic Abuse Co-ordination Team (DACT) ran a public consultation exercise consisting of two public-facing surveys. </w:t>
      </w:r>
    </w:p>
    <w:p w14:paraId="07D07350" w14:textId="46C76BD4" w:rsidR="00A8469C" w:rsidRPr="00A8469C" w:rsidRDefault="00A8469C" w:rsidP="00A8469C">
      <w:pPr>
        <w:rPr>
          <w:lang w:eastAsia="en-GB"/>
        </w:rPr>
      </w:pPr>
      <w:r w:rsidRPr="5BE6DD8F">
        <w:rPr>
          <w:lang w:eastAsia="en-GB"/>
        </w:rPr>
        <w:t>The first survey covered VAWG in its entirety and had 214 responses and the second focused on sexual harassment and had 155 responses.</w:t>
      </w:r>
    </w:p>
    <w:p w14:paraId="14379890" w14:textId="77777777" w:rsidR="00D56DB4" w:rsidRDefault="00D56DB4" w:rsidP="00174DC9">
      <w:pPr>
        <w:spacing w:after="0" w:line="240" w:lineRule="auto"/>
        <w:textAlignment w:val="baseline"/>
        <w:rPr>
          <w:rFonts w:ascii="Calibri" w:eastAsia="Times New Roman" w:hAnsi="Calibri" w:cs="Calibri"/>
          <w:color w:val="333333"/>
          <w:kern w:val="0"/>
          <w:lang w:eastAsia="en-GB"/>
          <w14:ligatures w14:val="none"/>
        </w:rPr>
      </w:pPr>
    </w:p>
    <w:p w14:paraId="04694504" w14:textId="5682FA66" w:rsidR="006A0B80" w:rsidRPr="006A0B80" w:rsidRDefault="00D3507B" w:rsidP="006A0B80">
      <w:pPr>
        <w:pStyle w:val="Heading4"/>
        <w:rPr>
          <w:rFonts w:eastAsia="Times New Roman"/>
          <w:lang w:eastAsia="en-GB"/>
        </w:rPr>
      </w:pPr>
      <w:r w:rsidRPr="007C41F7">
        <w:rPr>
          <w:rFonts w:eastAsia="Times New Roman"/>
          <w:color w:val="1F4E79" w:themeColor="accent5" w:themeShade="80"/>
          <w:lang w:eastAsia="en-GB"/>
        </w:rPr>
        <w:t xml:space="preserve">Insights from </w:t>
      </w:r>
      <w:r w:rsidR="006A0B80" w:rsidRPr="007C41F7">
        <w:rPr>
          <w:rFonts w:eastAsia="Times New Roman"/>
          <w:color w:val="1F4E79" w:themeColor="accent5" w:themeShade="80"/>
          <w:lang w:eastAsia="en-GB"/>
        </w:rPr>
        <w:t xml:space="preserve">Survey 1: </w:t>
      </w:r>
      <w:r>
        <w:br/>
      </w:r>
    </w:p>
    <w:p w14:paraId="615C245E" w14:textId="430BBD98" w:rsidR="006E2B6D" w:rsidRDefault="00D56DB4" w:rsidP="00174DC9">
      <w:pPr>
        <w:spacing w:after="0" w:line="240" w:lineRule="auto"/>
        <w:textAlignment w:val="baseline"/>
        <w:rPr>
          <w:rFonts w:ascii="Calibri" w:eastAsia="Times New Roman" w:hAnsi="Calibri" w:cs="Calibri"/>
          <w:color w:val="333333"/>
          <w:kern w:val="0"/>
          <w:lang w:eastAsia="en-GB"/>
          <w14:ligatures w14:val="none"/>
        </w:rPr>
      </w:pPr>
      <w:r>
        <w:rPr>
          <w:rFonts w:ascii="Calibri" w:eastAsia="Times New Roman" w:hAnsi="Calibri" w:cs="Calibri"/>
          <w:color w:val="333333"/>
          <w:kern w:val="0"/>
          <w:lang w:eastAsia="en-GB"/>
          <w14:ligatures w14:val="none"/>
        </w:rPr>
        <w:t>70</w:t>
      </w:r>
      <w:r w:rsidR="00994ADA">
        <w:rPr>
          <w:rFonts w:ascii="Calibri" w:eastAsia="Times New Roman" w:hAnsi="Calibri" w:cs="Calibri"/>
          <w:color w:val="333333"/>
          <w:kern w:val="0"/>
          <w:lang w:eastAsia="en-GB"/>
          <w14:ligatures w14:val="none"/>
        </w:rPr>
        <w:t xml:space="preserve"> of the 214 </w:t>
      </w:r>
      <w:r w:rsidR="00FF4C97">
        <w:rPr>
          <w:rFonts w:ascii="Calibri" w:eastAsia="Times New Roman" w:hAnsi="Calibri" w:cs="Calibri"/>
          <w:color w:val="333333"/>
          <w:kern w:val="0"/>
          <w:lang w:eastAsia="en-GB"/>
          <w14:ligatures w14:val="none"/>
        </w:rPr>
        <w:t xml:space="preserve">survey respondents </w:t>
      </w:r>
      <w:r w:rsidR="00C32834">
        <w:rPr>
          <w:rFonts w:ascii="Calibri" w:eastAsia="Times New Roman" w:hAnsi="Calibri" w:cs="Calibri"/>
          <w:color w:val="333333"/>
          <w:kern w:val="0"/>
          <w:lang w:eastAsia="en-GB"/>
          <w14:ligatures w14:val="none"/>
        </w:rPr>
        <w:t>selected that they had experienced sexual violence.</w:t>
      </w:r>
      <w:r w:rsidR="006E2B6D">
        <w:rPr>
          <w:rFonts w:ascii="Calibri" w:eastAsia="Times New Roman" w:hAnsi="Calibri" w:cs="Calibri"/>
          <w:color w:val="333333"/>
          <w:kern w:val="0"/>
          <w:lang w:eastAsia="en-GB"/>
          <w14:ligatures w14:val="none"/>
        </w:rPr>
        <w:t xml:space="preserve"> Of these only 6 </w:t>
      </w:r>
      <w:r w:rsidR="00410F2E">
        <w:rPr>
          <w:rFonts w:ascii="Calibri" w:eastAsia="Times New Roman" w:hAnsi="Calibri" w:cs="Calibri"/>
          <w:color w:val="333333"/>
          <w:kern w:val="0"/>
          <w:lang w:eastAsia="en-GB"/>
          <w14:ligatures w14:val="none"/>
        </w:rPr>
        <w:t>(</w:t>
      </w:r>
      <w:r w:rsidR="00BC266F">
        <w:rPr>
          <w:rFonts w:ascii="Calibri" w:eastAsia="Times New Roman" w:hAnsi="Calibri" w:cs="Calibri"/>
          <w:color w:val="333333"/>
          <w:kern w:val="0"/>
          <w:lang w:eastAsia="en-GB"/>
          <w14:ligatures w14:val="none"/>
        </w:rPr>
        <w:t xml:space="preserve">9%) </w:t>
      </w:r>
      <w:r w:rsidR="006E2B6D">
        <w:rPr>
          <w:rFonts w:ascii="Calibri" w:eastAsia="Times New Roman" w:hAnsi="Calibri" w:cs="Calibri"/>
          <w:color w:val="333333"/>
          <w:kern w:val="0"/>
          <w:lang w:eastAsia="en-GB"/>
          <w14:ligatures w14:val="none"/>
        </w:rPr>
        <w:t xml:space="preserve">respondents </w:t>
      </w:r>
      <w:r w:rsidR="0085775E">
        <w:rPr>
          <w:rFonts w:ascii="Calibri" w:eastAsia="Times New Roman" w:hAnsi="Calibri" w:cs="Calibri"/>
          <w:color w:val="333333"/>
          <w:kern w:val="0"/>
          <w:lang w:eastAsia="en-GB"/>
          <w14:ligatures w14:val="none"/>
        </w:rPr>
        <w:t xml:space="preserve">selected this as the only </w:t>
      </w:r>
      <w:r w:rsidR="00EC0354">
        <w:rPr>
          <w:rFonts w:ascii="Calibri" w:eastAsia="Times New Roman" w:hAnsi="Calibri" w:cs="Calibri"/>
          <w:color w:val="333333"/>
          <w:kern w:val="0"/>
          <w:lang w:eastAsia="en-GB"/>
          <w14:ligatures w14:val="none"/>
        </w:rPr>
        <w:t xml:space="preserve">form of </w:t>
      </w:r>
      <w:r w:rsidR="00BB36A0">
        <w:rPr>
          <w:rFonts w:ascii="Calibri" w:eastAsia="Times New Roman" w:hAnsi="Calibri" w:cs="Calibri"/>
          <w:color w:val="333333"/>
          <w:kern w:val="0"/>
          <w:lang w:eastAsia="en-GB"/>
          <w14:ligatures w14:val="none"/>
        </w:rPr>
        <w:t>harm</w:t>
      </w:r>
      <w:r w:rsidR="00EC0354">
        <w:rPr>
          <w:rFonts w:ascii="Calibri" w:eastAsia="Times New Roman" w:hAnsi="Calibri" w:cs="Calibri"/>
          <w:color w:val="333333"/>
          <w:kern w:val="0"/>
          <w:lang w:eastAsia="en-GB"/>
          <w14:ligatures w14:val="none"/>
        </w:rPr>
        <w:t xml:space="preserve"> they had experienced</w:t>
      </w:r>
      <w:r w:rsidR="00BB36A0">
        <w:rPr>
          <w:rFonts w:ascii="Calibri" w:eastAsia="Times New Roman" w:hAnsi="Calibri" w:cs="Calibri"/>
          <w:color w:val="333333"/>
          <w:kern w:val="0"/>
          <w:lang w:eastAsia="en-GB"/>
          <w14:ligatures w14:val="none"/>
        </w:rPr>
        <w:t xml:space="preserve"> out of those listed</w:t>
      </w:r>
      <w:r w:rsidR="0085775E">
        <w:rPr>
          <w:rFonts w:ascii="Calibri" w:eastAsia="Times New Roman" w:hAnsi="Calibri" w:cs="Calibri"/>
          <w:color w:val="333333"/>
          <w:kern w:val="0"/>
          <w:lang w:eastAsia="en-GB"/>
          <w14:ligatures w14:val="none"/>
        </w:rPr>
        <w:t xml:space="preserve">. </w:t>
      </w:r>
    </w:p>
    <w:p w14:paraId="22507F0A" w14:textId="77777777" w:rsidR="001100EB" w:rsidRDefault="001100EB" w:rsidP="00174DC9">
      <w:pPr>
        <w:spacing w:after="0" w:line="240" w:lineRule="auto"/>
        <w:textAlignment w:val="baseline"/>
        <w:rPr>
          <w:rFonts w:ascii="Calibri" w:eastAsia="Times New Roman" w:hAnsi="Calibri" w:cs="Calibri"/>
          <w:color w:val="333333"/>
          <w:kern w:val="0"/>
          <w:lang w:eastAsia="en-GB"/>
          <w14:ligatures w14:val="none"/>
        </w:rPr>
      </w:pPr>
    </w:p>
    <w:p w14:paraId="41FA3014" w14:textId="3BA77037" w:rsidR="00B31556" w:rsidRDefault="001100EB" w:rsidP="00174DC9">
      <w:pPr>
        <w:spacing w:after="0" w:line="240" w:lineRule="auto"/>
        <w:textAlignment w:val="baseline"/>
        <w:rPr>
          <w:rFonts w:ascii="Calibri" w:eastAsia="Times New Roman" w:hAnsi="Calibri" w:cs="Calibri"/>
          <w:color w:val="333333"/>
          <w:kern w:val="0"/>
          <w:lang w:eastAsia="en-GB"/>
          <w14:ligatures w14:val="none"/>
        </w:rPr>
      </w:pPr>
      <w:r>
        <w:rPr>
          <w:rFonts w:ascii="Calibri" w:eastAsia="Times New Roman" w:hAnsi="Calibri" w:cs="Calibri"/>
          <w:color w:val="333333"/>
          <w:kern w:val="0"/>
          <w:lang w:eastAsia="en-GB"/>
          <w14:ligatures w14:val="none"/>
        </w:rPr>
        <w:t xml:space="preserve">The </w:t>
      </w:r>
      <w:r w:rsidR="00894D07">
        <w:rPr>
          <w:rFonts w:ascii="Calibri" w:eastAsia="Times New Roman" w:hAnsi="Calibri" w:cs="Calibri"/>
          <w:color w:val="333333"/>
          <w:kern w:val="0"/>
          <w:lang w:eastAsia="en-GB"/>
          <w14:ligatures w14:val="none"/>
        </w:rPr>
        <w:t>five</w:t>
      </w:r>
      <w:r w:rsidR="001D535C">
        <w:rPr>
          <w:rFonts w:ascii="Calibri" w:eastAsia="Times New Roman" w:hAnsi="Calibri" w:cs="Calibri"/>
          <w:color w:val="333333"/>
          <w:kern w:val="0"/>
          <w:lang w:eastAsia="en-GB"/>
          <w14:ligatures w14:val="none"/>
        </w:rPr>
        <w:t xml:space="preserve"> </w:t>
      </w:r>
      <w:r>
        <w:rPr>
          <w:rFonts w:ascii="Calibri" w:eastAsia="Times New Roman" w:hAnsi="Calibri" w:cs="Calibri"/>
          <w:color w:val="333333"/>
          <w:kern w:val="0"/>
          <w:lang w:eastAsia="en-GB"/>
          <w14:ligatures w14:val="none"/>
        </w:rPr>
        <w:t xml:space="preserve">most common </w:t>
      </w:r>
      <w:r w:rsidR="001D535C">
        <w:rPr>
          <w:rFonts w:ascii="Calibri" w:eastAsia="Times New Roman" w:hAnsi="Calibri" w:cs="Calibri"/>
          <w:color w:val="333333"/>
          <w:kern w:val="0"/>
          <w:lang w:eastAsia="en-GB"/>
          <w14:ligatures w14:val="none"/>
        </w:rPr>
        <w:t>e</w:t>
      </w:r>
      <w:r w:rsidR="00853DEC">
        <w:rPr>
          <w:rFonts w:ascii="Calibri" w:eastAsia="Times New Roman" w:hAnsi="Calibri" w:cs="Calibri"/>
          <w:color w:val="333333"/>
          <w:kern w:val="0"/>
          <w:lang w:eastAsia="en-GB"/>
          <w14:ligatures w14:val="none"/>
        </w:rPr>
        <w:t xml:space="preserve">xperiences </w:t>
      </w:r>
      <w:r w:rsidR="005D136E">
        <w:rPr>
          <w:rFonts w:ascii="Calibri" w:eastAsia="Times New Roman" w:hAnsi="Calibri" w:cs="Calibri"/>
          <w:color w:val="333333"/>
          <w:kern w:val="0"/>
          <w:lang w:eastAsia="en-GB"/>
          <w14:ligatures w14:val="none"/>
        </w:rPr>
        <w:t>in those who had experienced</w:t>
      </w:r>
      <w:r w:rsidR="00894D07">
        <w:rPr>
          <w:rFonts w:ascii="Calibri" w:eastAsia="Times New Roman" w:hAnsi="Calibri" w:cs="Calibri"/>
          <w:color w:val="333333"/>
          <w:kern w:val="0"/>
          <w:lang w:eastAsia="en-GB"/>
          <w14:ligatures w14:val="none"/>
        </w:rPr>
        <w:t xml:space="preserve"> sexual violence</w:t>
      </w:r>
      <w:r w:rsidR="001D535C">
        <w:rPr>
          <w:rFonts w:ascii="Calibri" w:eastAsia="Times New Roman" w:hAnsi="Calibri" w:cs="Calibri"/>
          <w:color w:val="333333"/>
          <w:kern w:val="0"/>
          <w:lang w:eastAsia="en-GB"/>
          <w14:ligatures w14:val="none"/>
        </w:rPr>
        <w:t xml:space="preserve"> </w:t>
      </w:r>
      <w:r w:rsidR="00B87EA7">
        <w:rPr>
          <w:rFonts w:ascii="Calibri" w:eastAsia="Times New Roman" w:hAnsi="Calibri" w:cs="Calibri"/>
          <w:color w:val="333333"/>
          <w:kern w:val="0"/>
          <w:lang w:eastAsia="en-GB"/>
          <w14:ligatures w14:val="none"/>
        </w:rPr>
        <w:t>were</w:t>
      </w:r>
      <w:r w:rsidR="00B31556">
        <w:rPr>
          <w:rFonts w:ascii="Calibri" w:eastAsia="Times New Roman" w:hAnsi="Calibri" w:cs="Calibri"/>
          <w:color w:val="333333"/>
          <w:kern w:val="0"/>
          <w:lang w:eastAsia="en-GB"/>
          <w14:ligatures w14:val="none"/>
        </w:rPr>
        <w:t>:</w:t>
      </w:r>
    </w:p>
    <w:p w14:paraId="3BE3FB77" w14:textId="77777777" w:rsidR="00B31556" w:rsidRDefault="001D535C" w:rsidP="00B67805">
      <w:pPr>
        <w:pStyle w:val="ListParagraph"/>
        <w:numPr>
          <w:ilvl w:val="0"/>
          <w:numId w:val="24"/>
        </w:numPr>
        <w:spacing w:after="0" w:line="240" w:lineRule="auto"/>
        <w:textAlignment w:val="baseline"/>
        <w:rPr>
          <w:rFonts w:ascii="Calibri" w:eastAsia="Times New Roman" w:hAnsi="Calibri" w:cs="Calibri"/>
          <w:color w:val="333333"/>
          <w:kern w:val="0"/>
          <w:lang w:eastAsia="en-GB"/>
          <w14:ligatures w14:val="none"/>
        </w:rPr>
      </w:pPr>
      <w:r w:rsidRPr="00B31556">
        <w:rPr>
          <w:rFonts w:ascii="Calibri" w:eastAsia="Times New Roman" w:hAnsi="Calibri" w:cs="Calibri"/>
          <w:color w:val="333333"/>
          <w:kern w:val="0"/>
          <w:lang w:eastAsia="en-GB"/>
          <w14:ligatures w14:val="none"/>
        </w:rPr>
        <w:t xml:space="preserve">sexual harassment in a public space (62.9%), </w:t>
      </w:r>
    </w:p>
    <w:p w14:paraId="1F1C431A" w14:textId="77777777" w:rsidR="00B31556" w:rsidRDefault="001B2EB7" w:rsidP="00B67805">
      <w:pPr>
        <w:pStyle w:val="ListParagraph"/>
        <w:numPr>
          <w:ilvl w:val="0"/>
          <w:numId w:val="24"/>
        </w:numPr>
        <w:spacing w:after="0" w:line="240" w:lineRule="auto"/>
        <w:textAlignment w:val="baseline"/>
        <w:rPr>
          <w:rFonts w:ascii="Calibri" w:eastAsia="Times New Roman" w:hAnsi="Calibri" w:cs="Calibri"/>
          <w:color w:val="333333"/>
          <w:kern w:val="0"/>
          <w:lang w:eastAsia="en-GB"/>
          <w14:ligatures w14:val="none"/>
        </w:rPr>
      </w:pPr>
      <w:r w:rsidRPr="00B31556">
        <w:rPr>
          <w:rFonts w:ascii="Calibri" w:eastAsia="Times New Roman" w:hAnsi="Calibri" w:cs="Calibri"/>
          <w:color w:val="333333"/>
          <w:kern w:val="0"/>
          <w:lang w:eastAsia="en-GB"/>
          <w14:ligatures w14:val="none"/>
        </w:rPr>
        <w:t xml:space="preserve">domestic abuse by a partner or ex-partner </w:t>
      </w:r>
      <w:r w:rsidR="0090616F" w:rsidRPr="00B31556">
        <w:rPr>
          <w:rFonts w:ascii="Calibri" w:eastAsia="Times New Roman" w:hAnsi="Calibri" w:cs="Calibri"/>
          <w:color w:val="333333"/>
          <w:kern w:val="0"/>
          <w:lang w:eastAsia="en-GB"/>
          <w14:ligatures w14:val="none"/>
        </w:rPr>
        <w:t>(45.7%)</w:t>
      </w:r>
      <w:r w:rsidR="00894D07" w:rsidRPr="00B31556">
        <w:rPr>
          <w:rFonts w:ascii="Calibri" w:eastAsia="Times New Roman" w:hAnsi="Calibri" w:cs="Calibri"/>
          <w:color w:val="333333"/>
          <w:kern w:val="0"/>
          <w:lang w:eastAsia="en-GB"/>
          <w14:ligatures w14:val="none"/>
        </w:rPr>
        <w:t xml:space="preserve">, </w:t>
      </w:r>
    </w:p>
    <w:p w14:paraId="2EE4DD1B" w14:textId="77777777" w:rsidR="00B31556" w:rsidRDefault="006E404E" w:rsidP="00B67805">
      <w:pPr>
        <w:pStyle w:val="ListParagraph"/>
        <w:numPr>
          <w:ilvl w:val="0"/>
          <w:numId w:val="24"/>
        </w:numPr>
        <w:spacing w:after="0" w:line="240" w:lineRule="auto"/>
        <w:textAlignment w:val="baseline"/>
        <w:rPr>
          <w:rFonts w:ascii="Calibri" w:eastAsia="Times New Roman" w:hAnsi="Calibri" w:cs="Calibri"/>
          <w:color w:val="333333"/>
          <w:kern w:val="0"/>
          <w:lang w:eastAsia="en-GB"/>
          <w14:ligatures w14:val="none"/>
        </w:rPr>
      </w:pPr>
      <w:r w:rsidRPr="00B31556">
        <w:rPr>
          <w:rFonts w:ascii="Calibri" w:eastAsia="Times New Roman" w:hAnsi="Calibri" w:cs="Calibri"/>
          <w:color w:val="333333"/>
          <w:kern w:val="0"/>
          <w:lang w:eastAsia="en-GB"/>
          <w14:ligatures w14:val="none"/>
        </w:rPr>
        <w:t xml:space="preserve">sexual harassment at work </w:t>
      </w:r>
      <w:r w:rsidR="00C8545F" w:rsidRPr="00B31556">
        <w:rPr>
          <w:rFonts w:ascii="Calibri" w:eastAsia="Times New Roman" w:hAnsi="Calibri" w:cs="Calibri"/>
          <w:color w:val="333333"/>
          <w:kern w:val="0"/>
          <w:lang w:eastAsia="en-GB"/>
          <w14:ligatures w14:val="none"/>
        </w:rPr>
        <w:t xml:space="preserve">(41.4%), </w:t>
      </w:r>
    </w:p>
    <w:p w14:paraId="3D698DE2" w14:textId="77777777" w:rsidR="00B31556" w:rsidRDefault="00821779" w:rsidP="00B67805">
      <w:pPr>
        <w:pStyle w:val="ListParagraph"/>
        <w:numPr>
          <w:ilvl w:val="0"/>
          <w:numId w:val="24"/>
        </w:numPr>
        <w:spacing w:after="0" w:line="240" w:lineRule="auto"/>
        <w:textAlignment w:val="baseline"/>
        <w:rPr>
          <w:rFonts w:ascii="Calibri" w:eastAsia="Times New Roman" w:hAnsi="Calibri" w:cs="Calibri"/>
          <w:color w:val="333333"/>
          <w:kern w:val="0"/>
          <w:lang w:eastAsia="en-GB"/>
          <w14:ligatures w14:val="none"/>
        </w:rPr>
      </w:pPr>
      <w:r w:rsidRPr="00B31556">
        <w:rPr>
          <w:rFonts w:ascii="Calibri" w:eastAsia="Times New Roman" w:hAnsi="Calibri" w:cs="Calibri"/>
          <w:color w:val="333333"/>
          <w:kern w:val="0"/>
          <w:lang w:eastAsia="en-GB"/>
          <w14:ligatures w14:val="none"/>
        </w:rPr>
        <w:t>stalking/</w:t>
      </w:r>
      <w:r w:rsidR="00C8545F" w:rsidRPr="00B31556">
        <w:rPr>
          <w:rFonts w:ascii="Calibri" w:eastAsia="Times New Roman" w:hAnsi="Calibri" w:cs="Calibri"/>
          <w:color w:val="333333"/>
          <w:kern w:val="0"/>
          <w:lang w:eastAsia="en-GB"/>
          <w14:ligatures w14:val="none"/>
        </w:rPr>
        <w:t>harassment from a stranger/acquaintance</w:t>
      </w:r>
      <w:r w:rsidRPr="00B31556">
        <w:rPr>
          <w:rFonts w:ascii="Calibri" w:eastAsia="Times New Roman" w:hAnsi="Calibri" w:cs="Calibri"/>
          <w:color w:val="333333"/>
          <w:kern w:val="0"/>
          <w:lang w:eastAsia="en-GB"/>
          <w14:ligatures w14:val="none"/>
        </w:rPr>
        <w:t xml:space="preserve"> (41.4%)</w:t>
      </w:r>
      <w:r w:rsidR="00B31556">
        <w:rPr>
          <w:rFonts w:ascii="Calibri" w:eastAsia="Times New Roman" w:hAnsi="Calibri" w:cs="Calibri"/>
          <w:color w:val="333333"/>
          <w:kern w:val="0"/>
          <w:lang w:eastAsia="en-GB"/>
          <w14:ligatures w14:val="none"/>
        </w:rPr>
        <w:t>,</w:t>
      </w:r>
    </w:p>
    <w:p w14:paraId="07EEC05B" w14:textId="6739D90A" w:rsidR="00340606" w:rsidRPr="00410F2E" w:rsidRDefault="00B31556" w:rsidP="00DD69E2">
      <w:pPr>
        <w:pStyle w:val="ListParagraph"/>
        <w:numPr>
          <w:ilvl w:val="0"/>
          <w:numId w:val="24"/>
        </w:numPr>
        <w:spacing w:after="0" w:line="240" w:lineRule="auto"/>
        <w:textAlignment w:val="baseline"/>
        <w:rPr>
          <w:rFonts w:ascii="Calibri" w:eastAsia="Times New Roman" w:hAnsi="Calibri" w:cs="Calibri"/>
          <w:color w:val="333333"/>
          <w:kern w:val="0"/>
          <w:lang w:eastAsia="en-GB"/>
          <w14:ligatures w14:val="none"/>
        </w:rPr>
      </w:pPr>
      <w:r>
        <w:rPr>
          <w:rFonts w:ascii="Calibri" w:eastAsia="Times New Roman" w:hAnsi="Calibri" w:cs="Calibri"/>
          <w:color w:val="333333"/>
          <w:kern w:val="0"/>
          <w:lang w:eastAsia="en-GB"/>
          <w14:ligatures w14:val="none"/>
        </w:rPr>
        <w:t>stal</w:t>
      </w:r>
      <w:r w:rsidR="00821779" w:rsidRPr="00B31556">
        <w:rPr>
          <w:rFonts w:ascii="Calibri" w:eastAsia="Times New Roman" w:hAnsi="Calibri" w:cs="Calibri"/>
          <w:color w:val="333333"/>
          <w:kern w:val="0"/>
          <w:lang w:eastAsia="en-GB"/>
          <w14:ligatures w14:val="none"/>
        </w:rPr>
        <w:t>king/harassment from a partner or ex-partner (</w:t>
      </w:r>
      <w:r w:rsidR="003741E2" w:rsidRPr="00B31556">
        <w:rPr>
          <w:rFonts w:ascii="Calibri" w:eastAsia="Times New Roman" w:hAnsi="Calibri" w:cs="Calibri"/>
          <w:color w:val="333333"/>
          <w:kern w:val="0"/>
          <w:lang w:eastAsia="en-GB"/>
          <w14:ligatures w14:val="none"/>
        </w:rPr>
        <w:t xml:space="preserve">32.8%). </w:t>
      </w:r>
    </w:p>
    <w:p w14:paraId="53FC6518" w14:textId="77777777" w:rsidR="00680C63" w:rsidRDefault="00680C63" w:rsidP="00680C63">
      <w:pPr>
        <w:spacing w:after="0" w:line="240" w:lineRule="auto"/>
        <w:textAlignment w:val="baseline"/>
        <w:rPr>
          <w:rFonts w:ascii="Calibri" w:eastAsia="Times New Roman" w:hAnsi="Calibri" w:cs="Calibri"/>
          <w:color w:val="333333"/>
          <w:kern w:val="0"/>
          <w:lang w:eastAsia="en-GB"/>
          <w14:ligatures w14:val="none"/>
        </w:rPr>
      </w:pPr>
    </w:p>
    <w:p w14:paraId="6F680E09" w14:textId="7231BF96" w:rsidR="00680C63" w:rsidRPr="006A0B80" w:rsidRDefault="00680C63" w:rsidP="006A0B80">
      <w:pPr>
        <w:pStyle w:val="Heading4"/>
        <w:rPr>
          <w:rFonts w:eastAsia="Times New Roman"/>
          <w:lang w:eastAsia="en-GB"/>
        </w:rPr>
      </w:pPr>
      <w:r w:rsidRPr="5BE6DD8F">
        <w:rPr>
          <w:rFonts w:eastAsia="Times New Roman"/>
          <w:lang w:eastAsia="en-GB"/>
        </w:rPr>
        <w:t>Survey 2:</w:t>
      </w:r>
      <w:r>
        <w:br/>
      </w:r>
    </w:p>
    <w:p w14:paraId="48193D16" w14:textId="18181C7C" w:rsidR="00174DC9" w:rsidRDefault="00680C63" w:rsidP="006A0B80">
      <w:pPr>
        <w:rPr>
          <w:lang w:eastAsia="en-GB"/>
        </w:rPr>
      </w:pPr>
      <w:r w:rsidRPr="5BE6DD8F">
        <w:rPr>
          <w:lang w:eastAsia="en-GB"/>
        </w:rPr>
        <w:t xml:space="preserve">107 of the </w:t>
      </w:r>
      <w:r w:rsidR="00A435E8" w:rsidRPr="5BE6DD8F">
        <w:rPr>
          <w:lang w:eastAsia="en-GB"/>
        </w:rPr>
        <w:t xml:space="preserve">155 responses to this survey stated that they had been sexually harassed in Sheffield, of these respondents 26 </w:t>
      </w:r>
      <w:r w:rsidR="006E4AF0" w:rsidRPr="5BE6DD8F">
        <w:rPr>
          <w:lang w:eastAsia="en-GB"/>
        </w:rPr>
        <w:t xml:space="preserve">(24.2%) </w:t>
      </w:r>
      <w:r w:rsidR="00E56FC4" w:rsidRPr="5BE6DD8F">
        <w:rPr>
          <w:lang w:eastAsia="en-GB"/>
        </w:rPr>
        <w:t xml:space="preserve">stated that this escalated to sexual assault. </w:t>
      </w:r>
    </w:p>
    <w:p w14:paraId="0E6B9E3D" w14:textId="1FBE15A5" w:rsidR="005805AE" w:rsidRPr="006A0B80" w:rsidRDefault="00174DC9" w:rsidP="007C41F7">
      <w:pPr>
        <w:pStyle w:val="Style2"/>
      </w:pPr>
      <w:r w:rsidRPr="5BE6DD8F">
        <w:t>Data on t</w:t>
      </w:r>
      <w:r w:rsidR="0091486A" w:rsidRPr="5BE6DD8F">
        <w:t>he in</w:t>
      </w:r>
      <w:r w:rsidR="0001489C" w:rsidRPr="5BE6DD8F">
        <w:t>tersection between domestic abuse and sexual violence:</w:t>
      </w:r>
    </w:p>
    <w:p w14:paraId="38E6ABC2" w14:textId="35027799" w:rsidR="009560F1" w:rsidRDefault="00165A4B" w:rsidP="009560F1">
      <w:r>
        <w:t xml:space="preserve">Although most sexual violence does not occur in the context of domestic abuse. </w:t>
      </w:r>
      <w:r w:rsidR="00BC266F">
        <w:t>We know that s</w:t>
      </w:r>
      <w:r w:rsidR="009560F1">
        <w:t>exual violenc</w:t>
      </w:r>
      <w:r w:rsidR="007443DA">
        <w:t xml:space="preserve">e </w:t>
      </w:r>
      <w:r w:rsidR="00BC266F">
        <w:t xml:space="preserve">can </w:t>
      </w:r>
      <w:r w:rsidR="007443DA">
        <w:t>be a part of domestic abuse</w:t>
      </w:r>
      <w:r w:rsidR="007E4CE8">
        <w:t xml:space="preserve"> between intimate partners</w:t>
      </w:r>
      <w:r>
        <w:t>. There</w:t>
      </w:r>
      <w:r w:rsidR="0094165D">
        <w:t xml:space="preserve"> is no accurate measure of sexual violence in this context. </w:t>
      </w:r>
    </w:p>
    <w:p w14:paraId="07F82E9F" w14:textId="10E6EDF2" w:rsidR="00A026E1" w:rsidRDefault="0027289C" w:rsidP="00A026E1">
      <w:r>
        <w:t>What we know</w:t>
      </w:r>
      <w:r w:rsidR="00A26046">
        <w:t xml:space="preserve"> is reliant on administrative data from </w:t>
      </w:r>
      <w:r w:rsidR="00D30358">
        <w:t xml:space="preserve">local services </w:t>
      </w:r>
      <w:r>
        <w:t xml:space="preserve">and </w:t>
      </w:r>
      <w:r w:rsidR="00D30358">
        <w:t>processes</w:t>
      </w:r>
      <w:r w:rsidR="00F1149D">
        <w:t xml:space="preserve">. </w:t>
      </w:r>
      <w:r w:rsidR="004627D8">
        <w:t xml:space="preserve">An indication of the scale can be provided </w:t>
      </w:r>
      <w:r w:rsidR="00A026E1">
        <w:t xml:space="preserve">by </w:t>
      </w:r>
      <w:r w:rsidR="00BE629A">
        <w:t xml:space="preserve">questions asked of </w:t>
      </w:r>
      <w:r w:rsidR="00066939">
        <w:t xml:space="preserve">administrative </w:t>
      </w:r>
      <w:r w:rsidR="00A026E1">
        <w:t xml:space="preserve">data from the domestic abuse provider and </w:t>
      </w:r>
      <w:r w:rsidR="00BE629A">
        <w:t>MARAC process. This is shown below:</w:t>
      </w:r>
    </w:p>
    <w:p w14:paraId="25101C0E" w14:textId="5865418D" w:rsidR="007B1097" w:rsidRDefault="00D30358" w:rsidP="00B67805">
      <w:pPr>
        <w:pStyle w:val="ListParagraph"/>
        <w:numPr>
          <w:ilvl w:val="0"/>
          <w:numId w:val="21"/>
        </w:numPr>
      </w:pPr>
      <w:r>
        <w:t xml:space="preserve">In 2023, IDAS received </w:t>
      </w:r>
      <w:r w:rsidR="00C14CDF">
        <w:t>19 referrals from S</w:t>
      </w:r>
      <w:r w:rsidR="00ED05DD">
        <w:t xml:space="preserve">heffield </w:t>
      </w:r>
      <w:r w:rsidR="00C14CDF">
        <w:t>R</w:t>
      </w:r>
      <w:r w:rsidR="00ED05DD">
        <w:t xml:space="preserve">ape and </w:t>
      </w:r>
      <w:r w:rsidR="00C14CDF">
        <w:t>S</w:t>
      </w:r>
      <w:r w:rsidR="00ED05DD">
        <w:t xml:space="preserve">exual </w:t>
      </w:r>
      <w:r w:rsidR="00C14CDF">
        <w:t>A</w:t>
      </w:r>
      <w:r w:rsidR="00ED05DD">
        <w:t xml:space="preserve">ssault </w:t>
      </w:r>
      <w:r w:rsidR="00C14CDF">
        <w:t>C</w:t>
      </w:r>
      <w:r w:rsidR="00ED05DD">
        <w:t>entre (SRASAC)</w:t>
      </w:r>
      <w:r w:rsidR="00C14CDF">
        <w:t xml:space="preserve">, and 18 referrals from </w:t>
      </w:r>
      <w:r w:rsidR="00ED05DD">
        <w:t xml:space="preserve">the </w:t>
      </w:r>
      <w:r w:rsidR="00C14CDF">
        <w:t>S</w:t>
      </w:r>
      <w:r w:rsidR="00ED05DD">
        <w:t xml:space="preserve">exual </w:t>
      </w:r>
      <w:r w:rsidR="00C14CDF">
        <w:t>A</w:t>
      </w:r>
      <w:r w:rsidR="00ED05DD">
        <w:t xml:space="preserve">ssault </w:t>
      </w:r>
      <w:r w:rsidR="00C14CDF">
        <w:t>R</w:t>
      </w:r>
      <w:r w:rsidR="00ED05DD">
        <w:t xml:space="preserve">eferral </w:t>
      </w:r>
      <w:r w:rsidR="00C14CDF">
        <w:t>C</w:t>
      </w:r>
      <w:r w:rsidR="00ED05DD">
        <w:t xml:space="preserve">entre (SARC) </w:t>
      </w:r>
      <w:r w:rsidR="007E4CE8">
        <w:t>known as Hackenthorpe Lodge.</w:t>
      </w:r>
    </w:p>
    <w:p w14:paraId="57E3F5C9" w14:textId="799CEE31" w:rsidR="005416E7" w:rsidRDefault="001003C6" w:rsidP="00B67805">
      <w:pPr>
        <w:pStyle w:val="ListParagraph"/>
        <w:numPr>
          <w:ilvl w:val="0"/>
          <w:numId w:val="21"/>
        </w:numPr>
      </w:pPr>
      <w:r>
        <w:t xml:space="preserve">Cases on the IDAS client system with a completed ‘Abuse Profile’ </w:t>
      </w:r>
      <w:r w:rsidR="00146B53">
        <w:t xml:space="preserve">showed that in 2023, 14% of profiles disclosed </w:t>
      </w:r>
      <w:r w:rsidR="00DA4143">
        <w:t>s</w:t>
      </w:r>
      <w:r w:rsidR="00146B53">
        <w:t xml:space="preserve">exual </w:t>
      </w:r>
      <w:r w:rsidR="00DA4143">
        <w:t>a</w:t>
      </w:r>
      <w:r w:rsidR="00146B53">
        <w:t xml:space="preserve">buse (258 Individuals). </w:t>
      </w:r>
    </w:p>
    <w:p w14:paraId="17285293" w14:textId="632FA9F1" w:rsidR="00B55FA5" w:rsidRPr="00DA4143" w:rsidRDefault="008F237B" w:rsidP="5BE6DD8F">
      <w:pPr>
        <w:pStyle w:val="ListParagraph"/>
        <w:numPr>
          <w:ilvl w:val="0"/>
          <w:numId w:val="21"/>
        </w:numPr>
        <w:rPr>
          <w:i/>
          <w:iCs/>
        </w:rPr>
      </w:pPr>
      <w:r>
        <w:t>In 2023</w:t>
      </w:r>
      <w:r w:rsidR="00FF2F9D">
        <w:t>,</w:t>
      </w:r>
      <w:r>
        <w:t xml:space="preserve"> </w:t>
      </w:r>
      <w:r w:rsidR="00FF2F9D">
        <w:t>1095 individuals had a DASH risk assessment</w:t>
      </w:r>
      <w:r>
        <w:t xml:space="preserve"> completed </w:t>
      </w:r>
      <w:r w:rsidR="00FF2F9D">
        <w:t xml:space="preserve">by IDAS, </w:t>
      </w:r>
      <w:r>
        <w:t>of which 735 (67%) said yes to the question “</w:t>
      </w:r>
      <w:r w:rsidRPr="5BE6DD8F">
        <w:rPr>
          <w:i/>
          <w:iCs/>
        </w:rPr>
        <w:t>Does the abuser(s) do or say things of a sexual nature that made you feel bad or that physical hurt you or someone else?”</w:t>
      </w:r>
      <w:r w:rsidR="00FF2F9D" w:rsidRPr="5BE6DD8F">
        <w:rPr>
          <w:i/>
          <w:iCs/>
        </w:rPr>
        <w:t xml:space="preserve"> </w:t>
      </w:r>
    </w:p>
    <w:p w14:paraId="64077D1D" w14:textId="77777777" w:rsidR="0053005A" w:rsidRPr="0053005A" w:rsidRDefault="00DA4143" w:rsidP="5BE6DD8F">
      <w:pPr>
        <w:pStyle w:val="ListParagraph"/>
        <w:numPr>
          <w:ilvl w:val="0"/>
          <w:numId w:val="21"/>
        </w:numPr>
        <w:spacing w:line="256" w:lineRule="auto"/>
        <w:rPr>
          <w:b/>
          <w:bCs/>
        </w:rPr>
      </w:pPr>
      <w:r>
        <w:t xml:space="preserve">15% of the high-risk cases (41) discussed at MARAC in Q1 of 23/24 referenced sexual violence as part of the abuse. SRASAC were involved in 5 cases, and the SARC were involved in 4 of these cases. </w:t>
      </w:r>
    </w:p>
    <w:p w14:paraId="0AAF2BE1" w14:textId="39FC0522" w:rsidR="0091486A" w:rsidRDefault="00B55FA5" w:rsidP="5BE6DD8F">
      <w:pPr>
        <w:spacing w:line="256" w:lineRule="auto"/>
        <w:rPr>
          <w:b/>
          <w:bCs/>
        </w:rPr>
      </w:pPr>
      <w:r w:rsidRPr="5BE6DD8F">
        <w:rPr>
          <w:b/>
          <w:bCs/>
        </w:rPr>
        <w:t>Recommendation:</w:t>
      </w:r>
      <w:r w:rsidR="00236715" w:rsidRPr="5BE6DD8F">
        <w:rPr>
          <w:b/>
          <w:bCs/>
        </w:rPr>
        <w:t xml:space="preserve"> </w:t>
      </w:r>
      <w:r w:rsidR="00B476F4" w:rsidRPr="5BE6DD8F">
        <w:rPr>
          <w:b/>
          <w:bCs/>
        </w:rPr>
        <w:t>During</w:t>
      </w:r>
      <w:r w:rsidR="00236715" w:rsidRPr="5BE6DD8F">
        <w:rPr>
          <w:b/>
          <w:bCs/>
        </w:rPr>
        <w:t xml:space="preserve"> the strategy, we should c</w:t>
      </w:r>
      <w:r w:rsidRPr="5BE6DD8F">
        <w:rPr>
          <w:b/>
          <w:bCs/>
        </w:rPr>
        <w:t xml:space="preserve">onsider how data can be better captured in this area to </w:t>
      </w:r>
      <w:r w:rsidR="00601005" w:rsidRPr="5BE6DD8F">
        <w:rPr>
          <w:b/>
          <w:bCs/>
        </w:rPr>
        <w:t>improve understanding of sexual violence within domestic abuse cases</w:t>
      </w:r>
      <w:r w:rsidR="00066939" w:rsidRPr="5BE6DD8F">
        <w:rPr>
          <w:b/>
          <w:bCs/>
        </w:rPr>
        <w:t xml:space="preserve"> as part of the MARAC process and </w:t>
      </w:r>
      <w:r w:rsidR="00574805" w:rsidRPr="5BE6DD8F">
        <w:rPr>
          <w:b/>
          <w:bCs/>
        </w:rPr>
        <w:t xml:space="preserve">on client profiles. </w:t>
      </w:r>
    </w:p>
    <w:p w14:paraId="688F6914" w14:textId="77777777" w:rsidR="007C41F7" w:rsidRDefault="007C41F7" w:rsidP="5BE6DD8F">
      <w:pPr>
        <w:spacing w:line="256" w:lineRule="auto"/>
        <w:rPr>
          <w:b/>
          <w:bCs/>
        </w:rPr>
      </w:pPr>
    </w:p>
    <w:p w14:paraId="5BDAD913" w14:textId="5A737823" w:rsidR="0086257E" w:rsidRPr="007C41F7" w:rsidRDefault="009C2001" w:rsidP="007C41F7">
      <w:pPr>
        <w:pStyle w:val="Style2"/>
        <w:rPr>
          <w:b w:val="0"/>
          <w:bCs w:val="0"/>
        </w:rPr>
      </w:pPr>
      <w:r w:rsidRPr="007C41F7">
        <w:rPr>
          <w:rStyle w:val="Strong"/>
          <w:b/>
          <w:bCs/>
        </w:rPr>
        <w:t xml:space="preserve">What do we know about the </w:t>
      </w:r>
      <w:r w:rsidR="0086257E" w:rsidRPr="007C41F7">
        <w:rPr>
          <w:rStyle w:val="Strong"/>
          <w:b/>
          <w:bCs/>
        </w:rPr>
        <w:t>victims</w:t>
      </w:r>
      <w:r w:rsidRPr="007C41F7">
        <w:rPr>
          <w:rStyle w:val="Strong"/>
          <w:b/>
          <w:bCs/>
        </w:rPr>
        <w:t xml:space="preserve"> of sexual assault?</w:t>
      </w:r>
    </w:p>
    <w:p w14:paraId="3EF0CFDB" w14:textId="2631B433" w:rsidR="00F11543" w:rsidRPr="0023605D" w:rsidRDefault="00F11543" w:rsidP="00F11543">
      <w:pPr>
        <w:rPr>
          <w:b/>
          <w:bCs/>
        </w:rPr>
      </w:pPr>
      <w:r w:rsidRPr="5BE6DD8F">
        <w:rPr>
          <w:b/>
          <w:bCs/>
        </w:rPr>
        <w:t xml:space="preserve">Data from </w:t>
      </w:r>
      <w:r w:rsidR="0023605D" w:rsidRPr="5BE6DD8F">
        <w:rPr>
          <w:b/>
          <w:bCs/>
        </w:rPr>
        <w:t>the Crime Survey of England and Wales shows us that:</w:t>
      </w:r>
    </w:p>
    <w:p w14:paraId="3B217A34" w14:textId="17B2E2C6" w:rsidR="002D2770" w:rsidRDefault="002D2770" w:rsidP="00B67805">
      <w:pPr>
        <w:pStyle w:val="ListParagraph"/>
        <w:numPr>
          <w:ilvl w:val="0"/>
          <w:numId w:val="23"/>
        </w:numPr>
      </w:pPr>
      <w:r>
        <w:t xml:space="preserve">A higher proportion of adults aged 16 to 24 years were victims of sexual assault in the last year compared with those aged 25 years and over. </w:t>
      </w:r>
    </w:p>
    <w:p w14:paraId="0E59F90E" w14:textId="45BC76CA" w:rsidR="002D2770" w:rsidRDefault="002D2770" w:rsidP="00B67805">
      <w:pPr>
        <w:pStyle w:val="ListParagraph"/>
        <w:numPr>
          <w:ilvl w:val="0"/>
          <w:numId w:val="23"/>
        </w:numPr>
      </w:pPr>
      <w:r>
        <w:t>A higher proportion of full-time students were victims of sexual assault in the last year than those in any other occupation type</w:t>
      </w:r>
      <w:r w:rsidR="00961593">
        <w:t>.</w:t>
      </w:r>
    </w:p>
    <w:p w14:paraId="2CB45199" w14:textId="4E0C3790" w:rsidR="002D2770" w:rsidRDefault="00D010B5" w:rsidP="00B67805">
      <w:pPr>
        <w:pStyle w:val="ListParagraph"/>
        <w:numPr>
          <w:ilvl w:val="0"/>
          <w:numId w:val="23"/>
        </w:numPr>
      </w:pPr>
      <w:r>
        <w:t>A</w:t>
      </w:r>
      <w:r w:rsidR="002D2770">
        <w:t xml:space="preserve"> higher proportion of single adults were victims of more sexual assault in the last year than those with any other marital status</w:t>
      </w:r>
      <w:r w:rsidR="00961593">
        <w:t>.</w:t>
      </w:r>
    </w:p>
    <w:p w14:paraId="27069285" w14:textId="1185B93B" w:rsidR="0023605D" w:rsidRPr="0023605D" w:rsidRDefault="0023605D" w:rsidP="0023605D">
      <w:pPr>
        <w:rPr>
          <w:b/>
          <w:bCs/>
        </w:rPr>
      </w:pPr>
      <w:r w:rsidRPr="5BE6DD8F">
        <w:rPr>
          <w:b/>
          <w:bCs/>
        </w:rPr>
        <w:t>Data from police recorded data shows us that:</w:t>
      </w:r>
    </w:p>
    <w:p w14:paraId="30A240A1" w14:textId="551523AD" w:rsidR="00955C97" w:rsidRDefault="00955C97" w:rsidP="00B67805">
      <w:pPr>
        <w:pStyle w:val="ListParagraph"/>
        <w:numPr>
          <w:ilvl w:val="0"/>
          <w:numId w:val="23"/>
        </w:numPr>
      </w:pPr>
      <w:r>
        <w:t>The victim was female in 86% of sexual offences.</w:t>
      </w:r>
    </w:p>
    <w:p w14:paraId="7AB8D7CF" w14:textId="448B5755" w:rsidR="00635968" w:rsidRPr="006C268A" w:rsidRDefault="00635968" w:rsidP="00B67805">
      <w:pPr>
        <w:pStyle w:val="ListParagraph"/>
        <w:numPr>
          <w:ilvl w:val="0"/>
          <w:numId w:val="23"/>
        </w:numPr>
      </w:pPr>
      <w:r>
        <w:t xml:space="preserve">Police recorded crime showed that females aged 15 to 19 years and males aged 10 to 14 years were most likely to be victims of sexual offences. </w:t>
      </w:r>
    </w:p>
    <w:p w14:paraId="19D80E1B" w14:textId="12AC8B37" w:rsidR="00B57068" w:rsidRDefault="002F6DF0" w:rsidP="00B67805">
      <w:pPr>
        <w:pStyle w:val="ListParagraph"/>
        <w:numPr>
          <w:ilvl w:val="0"/>
          <w:numId w:val="23"/>
        </w:numPr>
      </w:pPr>
      <w:r>
        <w:t>For female victims of rape, the perpetrator was most likely to be an intimate partner (46%), whereas for male victims of rape the perpetrator was most likely to be an acquaintance (38%)</w:t>
      </w:r>
      <w:r w:rsidR="00955C97">
        <w:t>.</w:t>
      </w:r>
    </w:p>
    <w:p w14:paraId="5FCFC21D" w14:textId="77777777" w:rsidR="00F52321" w:rsidRPr="00F52321" w:rsidRDefault="00F52321" w:rsidP="00F52321">
      <w:pPr>
        <w:rPr>
          <w:b/>
          <w:bCs/>
        </w:rPr>
      </w:pPr>
      <w:r w:rsidRPr="5BE6DD8F">
        <w:rPr>
          <w:b/>
          <w:bCs/>
        </w:rPr>
        <w:t xml:space="preserve">Recommendation: To expand engagement with both universities in the city and other further and higher education providers, as part of RASSO and beyond, to develop plans around the specific student population in Sheffield and disproportionate impact of sexual violence on this age group. </w:t>
      </w:r>
    </w:p>
    <w:p w14:paraId="3AB61BCB" w14:textId="492756A2" w:rsidR="007D4373" w:rsidRDefault="007D4373" w:rsidP="0027289C">
      <w:pPr>
        <w:pStyle w:val="Heading1"/>
        <w:rPr>
          <w:rStyle w:val="Strong"/>
        </w:rPr>
      </w:pPr>
      <w:r w:rsidRPr="5BE6DD8F">
        <w:rPr>
          <w:rStyle w:val="Strong"/>
        </w:rPr>
        <w:t xml:space="preserve">Impact of sexual </w:t>
      </w:r>
      <w:r w:rsidR="005603FA" w:rsidRPr="5BE6DD8F">
        <w:rPr>
          <w:rStyle w:val="Strong"/>
        </w:rPr>
        <w:t>violence</w:t>
      </w:r>
      <w:r w:rsidRPr="5BE6DD8F">
        <w:rPr>
          <w:rStyle w:val="Strong"/>
        </w:rPr>
        <w:t>:</w:t>
      </w:r>
    </w:p>
    <w:p w14:paraId="62A7AB53" w14:textId="7667B8E1" w:rsidR="00B12333" w:rsidRDefault="00264BBF" w:rsidP="00264BBF">
      <w:r>
        <w:t xml:space="preserve">Sexual violence </w:t>
      </w:r>
      <w:r w:rsidR="009F79E3">
        <w:t xml:space="preserve">has a significant and lasting impact on </w:t>
      </w:r>
      <w:r w:rsidR="000672DD">
        <w:t xml:space="preserve">the person impacted, </w:t>
      </w:r>
      <w:r w:rsidR="00854111">
        <w:t xml:space="preserve">and a significant impact </w:t>
      </w:r>
      <w:r w:rsidR="00B12333">
        <w:t xml:space="preserve">on wider society. </w:t>
      </w:r>
    </w:p>
    <w:p w14:paraId="46762519" w14:textId="7A46E33D" w:rsidR="00A44AB7" w:rsidRPr="00A44AB7" w:rsidRDefault="00B12333" w:rsidP="00900765">
      <w:pPr>
        <w:pStyle w:val="Heading2"/>
      </w:pPr>
      <w:r>
        <w:t>Mental Health:</w:t>
      </w:r>
      <w:r>
        <w:br/>
      </w:r>
    </w:p>
    <w:p w14:paraId="6861D062" w14:textId="2FDDDAE0" w:rsidR="00FB3FB5" w:rsidRPr="000F06BE" w:rsidRDefault="00FB3FB5" w:rsidP="00FB3FB5">
      <w:pPr>
        <w:rPr>
          <w:rFonts w:ascii="Calibri" w:hAnsi="Calibri" w:cs="Calibri"/>
          <w:color w:val="333333"/>
          <w:shd w:val="clear" w:color="auto" w:fill="FFFFFF"/>
        </w:rPr>
      </w:pPr>
      <w:r>
        <w:rPr>
          <w:rFonts w:ascii="Calibri" w:hAnsi="Calibri" w:cs="Calibri"/>
          <w:color w:val="333333"/>
          <w:shd w:val="clear" w:color="auto" w:fill="FFFFFF"/>
        </w:rPr>
        <w:t>Data from the CSEW can go some way to revealing the impact of sexual violence on mental health</w:t>
      </w:r>
      <w:r w:rsidR="006C6AA6">
        <w:rPr>
          <w:rFonts w:ascii="Calibri" w:hAnsi="Calibri" w:cs="Calibri"/>
          <w:color w:val="333333"/>
          <w:shd w:val="clear" w:color="auto" w:fill="FFFFFF"/>
        </w:rPr>
        <w:t>. It has shown that:</w:t>
      </w:r>
    </w:p>
    <w:p w14:paraId="0B843132" w14:textId="30389BB8" w:rsidR="00FB3FB5" w:rsidRPr="005D47D5" w:rsidRDefault="00FB3FB5" w:rsidP="5BE6DD8F">
      <w:pPr>
        <w:pStyle w:val="ListParagraph"/>
        <w:numPr>
          <w:ilvl w:val="0"/>
          <w:numId w:val="14"/>
        </w:numPr>
        <w:rPr>
          <w:color w:val="333333"/>
          <w:shd w:val="clear" w:color="auto" w:fill="FFFFFF"/>
        </w:rPr>
      </w:pPr>
      <w:r w:rsidRPr="5BE6DD8F">
        <w:rPr>
          <w:color w:val="333333"/>
          <w:shd w:val="clear" w:color="auto" w:fill="FFFFFF"/>
        </w:rPr>
        <w:t>63% of female victims of a sexual assaults by rape or penetration (including attempted) report</w:t>
      </w:r>
      <w:r w:rsidR="006C6AA6" w:rsidRPr="5BE6DD8F">
        <w:rPr>
          <w:color w:val="333333"/>
          <w:shd w:val="clear" w:color="auto" w:fill="FFFFFF"/>
        </w:rPr>
        <w:t xml:space="preserve">ed </w:t>
      </w:r>
      <w:r w:rsidRPr="5BE6DD8F">
        <w:rPr>
          <w:color w:val="323132"/>
          <w:shd w:val="clear" w:color="auto" w:fill="FFFFFF"/>
        </w:rPr>
        <w:t xml:space="preserve">“mental or emotional problems”, this figure was 47% for male victims. </w:t>
      </w:r>
      <w:r w:rsidRPr="5BE6DD8F">
        <w:rPr>
          <w:rStyle w:val="FootnoteReference"/>
          <w:color w:val="323132"/>
          <w:shd w:val="clear" w:color="auto" w:fill="FFFFFF"/>
        </w:rPr>
        <w:footnoteReference w:id="5"/>
      </w:r>
    </w:p>
    <w:p w14:paraId="69600CB9" w14:textId="77777777" w:rsidR="00FB3FB5" w:rsidRPr="00E4012D" w:rsidRDefault="00FB3FB5" w:rsidP="5BE6DD8F">
      <w:pPr>
        <w:pStyle w:val="ListParagraph"/>
        <w:numPr>
          <w:ilvl w:val="0"/>
          <w:numId w:val="14"/>
        </w:numPr>
        <w:rPr>
          <w:color w:val="333333"/>
          <w:shd w:val="clear" w:color="auto" w:fill="FFFFFF"/>
        </w:rPr>
      </w:pPr>
      <w:r w:rsidRPr="5BE6DD8F">
        <w:rPr>
          <w:color w:val="323132"/>
          <w:shd w:val="clear" w:color="auto" w:fill="FFFFFF"/>
        </w:rPr>
        <w:t xml:space="preserve">Around one in ten victims (12% of men and 10% of women) said they had attempted suicide as a result. </w:t>
      </w:r>
      <w:r w:rsidRPr="5BE6DD8F">
        <w:rPr>
          <w:rStyle w:val="FootnoteReference"/>
          <w:color w:val="323132"/>
          <w:shd w:val="clear" w:color="auto" w:fill="FFFFFF"/>
        </w:rPr>
        <w:footnoteReference w:id="6"/>
      </w:r>
    </w:p>
    <w:p w14:paraId="24D512F0" w14:textId="77777777" w:rsidR="00FB3FB5" w:rsidRDefault="00FB3FB5" w:rsidP="00FB3FB5">
      <w:pPr>
        <w:rPr>
          <w:rFonts w:ascii="Calibri" w:hAnsi="Calibri" w:cs="Calibri"/>
          <w:color w:val="333333"/>
          <w:shd w:val="clear" w:color="auto" w:fill="FFFFFF"/>
        </w:rPr>
      </w:pPr>
      <w:r w:rsidRPr="5BE6DD8F">
        <w:rPr>
          <w:color w:val="333333"/>
          <w:shd w:val="clear" w:color="auto" w:fill="FFFFFF"/>
        </w:rPr>
        <w:t xml:space="preserve">These findings are supported by academic research which shows that </w:t>
      </w:r>
      <w:r>
        <w:rPr>
          <w:rFonts w:ascii="Calibri" w:hAnsi="Calibri" w:cs="Calibri"/>
          <w:color w:val="333333"/>
          <w:shd w:val="clear" w:color="auto" w:fill="FFFFFF"/>
        </w:rPr>
        <w:t xml:space="preserve">most mental health </w:t>
      </w:r>
      <w:r w:rsidRPr="000F06BE">
        <w:rPr>
          <w:rFonts w:ascii="Calibri" w:hAnsi="Calibri" w:cs="Calibri"/>
          <w:color w:val="333333"/>
          <w:shd w:val="clear" w:color="auto" w:fill="FFFFFF"/>
        </w:rPr>
        <w:t>disorders were more prevalent in survivors of SA, and depressive disorders and posttraumatic stress disorders (PTSD) were especially prevalent.</w:t>
      </w:r>
      <w:r>
        <w:rPr>
          <w:rStyle w:val="FootnoteReference"/>
          <w:rFonts w:ascii="Calibri" w:hAnsi="Calibri" w:cs="Calibri"/>
          <w:color w:val="333333"/>
          <w:shd w:val="clear" w:color="auto" w:fill="FFFFFF"/>
        </w:rPr>
        <w:footnoteReference w:id="7"/>
      </w:r>
      <w:r>
        <w:rPr>
          <w:rFonts w:ascii="Calibri" w:hAnsi="Calibri" w:cs="Calibri"/>
          <w:color w:val="333333"/>
          <w:shd w:val="clear" w:color="auto" w:fill="FFFFFF"/>
        </w:rPr>
        <w:t xml:space="preserve"> </w:t>
      </w:r>
    </w:p>
    <w:p w14:paraId="1D445316" w14:textId="77777777" w:rsidR="00FB3FB5" w:rsidRDefault="00FB3FB5" w:rsidP="00FB3FB5">
      <w:r>
        <w:rPr>
          <w:rFonts w:ascii="Calibri" w:hAnsi="Calibri" w:cs="Calibri"/>
          <w:color w:val="333333"/>
          <w:shd w:val="clear" w:color="auto" w:fill="FFFFFF"/>
        </w:rPr>
        <w:t>Further research has shown that</w:t>
      </w:r>
      <w:r w:rsidRPr="5BE6DD8F">
        <w:rPr>
          <w:color w:val="333333"/>
          <w:shd w:val="clear" w:color="auto" w:fill="FFFFFF"/>
        </w:rPr>
        <w:t xml:space="preserve"> in the month following sexual assault </w:t>
      </w:r>
      <w:r>
        <w:t>74.5% of survivors met the criteria for post-traumatic stress disorder (PTSD) and revealed that</w:t>
      </w:r>
      <w:r w:rsidRPr="00041B72">
        <w:t xml:space="preserve"> </w:t>
      </w:r>
      <w:r>
        <w:t>m</w:t>
      </w:r>
      <w:r w:rsidRPr="00041B72">
        <w:t>ost symptom recovery occurred within the first 3 months following sexual assault, after which point the average rate of recovery slowed.</w:t>
      </w:r>
      <w:r>
        <w:t xml:space="preserve"> At 12 months the prevalence estimate for PTSD was</w:t>
      </w:r>
      <w:r w:rsidRPr="00287980">
        <w:t xml:space="preserve"> 41.5</w:t>
      </w:r>
      <w:r>
        <w:t xml:space="preserve">% </w:t>
      </w:r>
      <w:r>
        <w:rPr>
          <w:rStyle w:val="FootnoteReference"/>
        </w:rPr>
        <w:footnoteReference w:id="8"/>
      </w:r>
      <w:r>
        <w:t xml:space="preserve"> . </w:t>
      </w:r>
    </w:p>
    <w:p w14:paraId="4104B5F6" w14:textId="72D4DC59" w:rsidR="008069FB" w:rsidRDefault="008069FB" w:rsidP="00FB3FB5">
      <w:r>
        <w:t>Recent research has shown that psychiatric service users have a high</w:t>
      </w:r>
      <w:r w:rsidRPr="008069FB">
        <w:t xml:space="preserve"> prevalence of past year and adult lifetime (since the age of 16) sexual violence, with higher rates found in women than m</w:t>
      </w:r>
      <w:r>
        <w:t xml:space="preserve">en. </w:t>
      </w:r>
      <w:r>
        <w:rPr>
          <w:rStyle w:val="FootnoteReference"/>
        </w:rPr>
        <w:footnoteReference w:id="9"/>
      </w:r>
    </w:p>
    <w:p w14:paraId="786AE6E6" w14:textId="462B4A05" w:rsidR="007E74B5" w:rsidRDefault="00C42541" w:rsidP="00FB3FB5">
      <w:r>
        <w:t>Research has</w:t>
      </w:r>
      <w:r w:rsidR="003A2831">
        <w:t xml:space="preserve"> also</w:t>
      </w:r>
      <w:r>
        <w:t xml:space="preserve"> found that </w:t>
      </w:r>
      <w:r w:rsidR="00735BFA">
        <w:t>sexual interpersonal violence is</w:t>
      </w:r>
      <w:r>
        <w:t xml:space="preserve"> </w:t>
      </w:r>
      <w:r w:rsidRPr="00C42541">
        <w:t>particularly associated with self-harm and suicidalit</w:t>
      </w:r>
      <w:r w:rsidR="00735BFA">
        <w:t>y, and w</w:t>
      </w:r>
      <w:r w:rsidR="00735BFA" w:rsidRPr="00735BFA">
        <w:t xml:space="preserve">omen who have experienced any sexual </w:t>
      </w:r>
      <w:r w:rsidR="00B01AC2">
        <w:t>I</w:t>
      </w:r>
      <w:r w:rsidR="00735BFA" w:rsidRPr="00735BFA">
        <w:t>PV are seven times more likely than those who had not experienced sexual IPV to have attempted suicide</w:t>
      </w:r>
      <w:r w:rsidR="00E01391">
        <w:t xml:space="preserve">. </w:t>
      </w:r>
      <w:r w:rsidR="00900765">
        <w:rPr>
          <w:rStyle w:val="FootnoteReference"/>
        </w:rPr>
        <w:footnoteReference w:id="10"/>
      </w:r>
    </w:p>
    <w:p w14:paraId="18A35864" w14:textId="77777777" w:rsidR="007C41F7" w:rsidRDefault="007C41F7" w:rsidP="2AEF0F6D">
      <w:pPr>
        <w:rPr>
          <w:b/>
          <w:bCs/>
        </w:rPr>
      </w:pPr>
    </w:p>
    <w:p w14:paraId="2B1B5C9A" w14:textId="77777777" w:rsidR="007C41F7" w:rsidRDefault="007C41F7" w:rsidP="2AEF0F6D">
      <w:pPr>
        <w:rPr>
          <w:b/>
          <w:bCs/>
        </w:rPr>
      </w:pPr>
    </w:p>
    <w:p w14:paraId="7D2475C6" w14:textId="06090D82" w:rsidR="0099195B" w:rsidRDefault="58F653BA" w:rsidP="2AEF0F6D">
      <w:pPr>
        <w:rPr>
          <w:b/>
          <w:bCs/>
        </w:rPr>
      </w:pPr>
      <w:r w:rsidRPr="5BE6DD8F">
        <w:rPr>
          <w:b/>
          <w:bCs/>
        </w:rPr>
        <w:t xml:space="preserve">Recommendation: To discuss with providers around the mental health support needs of victims over time post sexual violence to inform support </w:t>
      </w:r>
      <w:r w:rsidR="007C41F7" w:rsidRPr="5BE6DD8F">
        <w:rPr>
          <w:b/>
          <w:bCs/>
        </w:rPr>
        <w:t>pathways and</w:t>
      </w:r>
      <w:r w:rsidRPr="5BE6DD8F">
        <w:rPr>
          <w:b/>
          <w:bCs/>
        </w:rPr>
        <w:t xml:space="preserve"> conduct further work to consider whether support options are adequate for populations disproportionately impacted by sexual violence.</w:t>
      </w:r>
    </w:p>
    <w:p w14:paraId="30416D28" w14:textId="77777777" w:rsidR="00D41691" w:rsidRPr="00DF7976" w:rsidRDefault="00D41691" w:rsidP="00D41691">
      <w:pPr>
        <w:pStyle w:val="Heading2"/>
      </w:pPr>
      <w:r>
        <w:t>Physical health:</w:t>
      </w:r>
    </w:p>
    <w:p w14:paraId="5905721E" w14:textId="77777777" w:rsidR="00D41691" w:rsidRDefault="00D41691" w:rsidP="00D41691">
      <w:pPr>
        <w:pStyle w:val="Heading2"/>
      </w:pPr>
    </w:p>
    <w:p w14:paraId="5F1B426C" w14:textId="77777777" w:rsidR="00EB4B7A" w:rsidRDefault="00512C7D" w:rsidP="5BE6DD8F">
      <w:pPr>
        <w:pStyle w:val="Heading8"/>
        <w:rPr>
          <w:rFonts w:asciiTheme="minorHAnsi" w:hAnsiTheme="minorHAnsi" w:cstheme="minorBidi"/>
          <w:color w:val="323132"/>
          <w:sz w:val="22"/>
          <w:szCs w:val="22"/>
          <w:shd w:val="clear" w:color="auto" w:fill="FFFFFF"/>
        </w:rPr>
      </w:pPr>
      <w:r w:rsidRPr="5BE6DD8F">
        <w:rPr>
          <w:rFonts w:asciiTheme="minorHAnsi" w:hAnsiTheme="minorHAnsi" w:cstheme="minorBidi"/>
          <w:sz w:val="22"/>
          <w:szCs w:val="22"/>
          <w:shd w:val="clear" w:color="auto" w:fill="FFFFFF"/>
        </w:rPr>
        <w:t xml:space="preserve">Data from the CSEW shows that </w:t>
      </w:r>
      <w:r w:rsidR="00D41691" w:rsidRPr="5BE6DD8F">
        <w:rPr>
          <w:rFonts w:asciiTheme="minorHAnsi" w:hAnsiTheme="minorHAnsi" w:cstheme="minorBidi"/>
          <w:sz w:val="22"/>
          <w:szCs w:val="22"/>
          <w:shd w:val="clear" w:color="auto" w:fill="FFFFFF"/>
        </w:rPr>
        <w:t xml:space="preserve">36% of victims of sexual assault by rape or penetration (including attempts) </w:t>
      </w:r>
      <w:r w:rsidR="00D41691" w:rsidRPr="5BE6DD8F">
        <w:rPr>
          <w:rFonts w:asciiTheme="minorHAnsi" w:hAnsiTheme="minorHAnsi" w:cstheme="minorBidi"/>
          <w:color w:val="323132"/>
          <w:sz w:val="22"/>
          <w:szCs w:val="22"/>
          <w:shd w:val="clear" w:color="auto" w:fill="FFFFFF"/>
        </w:rPr>
        <w:t xml:space="preserve">reported that they suffered some sort of physical injury. The most common types of injuries were minor bruising or black eye (23%) and scratches (15%). </w:t>
      </w:r>
      <w:r w:rsidR="00D41691" w:rsidRPr="5BE6DD8F">
        <w:rPr>
          <w:rStyle w:val="FootnoteReference"/>
          <w:rFonts w:asciiTheme="minorHAnsi" w:hAnsiTheme="minorHAnsi" w:cstheme="minorBidi"/>
          <w:color w:val="323132"/>
          <w:sz w:val="22"/>
          <w:szCs w:val="22"/>
          <w:shd w:val="clear" w:color="auto" w:fill="FFFFFF"/>
        </w:rPr>
        <w:footnoteReference w:id="11"/>
      </w:r>
      <w:r w:rsidR="00AE417D" w:rsidRPr="5BE6DD8F">
        <w:rPr>
          <w:rFonts w:asciiTheme="minorHAnsi" w:hAnsiTheme="minorHAnsi" w:cstheme="minorBidi"/>
          <w:color w:val="323132"/>
          <w:sz w:val="22"/>
          <w:szCs w:val="22"/>
          <w:shd w:val="clear" w:color="auto" w:fill="FFFFFF"/>
        </w:rPr>
        <w:t xml:space="preserve"> </w:t>
      </w:r>
    </w:p>
    <w:p w14:paraId="04F51DB1" w14:textId="77777777" w:rsidR="00EB4B7A" w:rsidRPr="00165A4B" w:rsidRDefault="00EB4B7A" w:rsidP="2AEF0F6D"/>
    <w:p w14:paraId="5326FC88" w14:textId="3A02B1CD" w:rsidR="00977E96" w:rsidRPr="003E2E90" w:rsidRDefault="1FC5CD98" w:rsidP="5BE6DD8F">
      <w:pPr>
        <w:pStyle w:val="Heading8"/>
        <w:rPr>
          <w:rFonts w:asciiTheme="minorHAnsi" w:hAnsiTheme="minorHAnsi" w:cstheme="minorBidi"/>
          <w:color w:val="auto"/>
          <w:sz w:val="22"/>
          <w:szCs w:val="22"/>
          <w:shd w:val="clear" w:color="auto" w:fill="FFFFFF"/>
        </w:rPr>
      </w:pPr>
      <w:r w:rsidRPr="003E2E90">
        <w:rPr>
          <w:rFonts w:asciiTheme="minorHAnsi" w:hAnsiTheme="minorHAnsi" w:cstheme="minorBidi"/>
          <w:color w:val="auto"/>
          <w:sz w:val="22"/>
          <w:szCs w:val="22"/>
          <w:shd w:val="clear" w:color="auto" w:fill="FFFFFF"/>
        </w:rPr>
        <w:t xml:space="preserve">In addition to this, the trauma from sexual violence is known to impact access </w:t>
      </w:r>
      <w:r w:rsidR="7A4F19EC" w:rsidRPr="003E2E90">
        <w:rPr>
          <w:rFonts w:asciiTheme="minorHAnsi" w:hAnsiTheme="minorHAnsi" w:cstheme="minorBidi"/>
          <w:color w:val="auto"/>
          <w:sz w:val="22"/>
          <w:szCs w:val="22"/>
          <w:shd w:val="clear" w:color="auto" w:fill="FFFFFF"/>
        </w:rPr>
        <w:t xml:space="preserve">to medical care, in particular </w:t>
      </w:r>
      <w:r w:rsidR="45DDDD97" w:rsidRPr="003E2E90">
        <w:rPr>
          <w:rFonts w:asciiTheme="minorHAnsi" w:hAnsiTheme="minorHAnsi" w:cstheme="minorBidi"/>
          <w:color w:val="auto"/>
          <w:sz w:val="22"/>
          <w:szCs w:val="22"/>
          <w:shd w:val="clear" w:color="auto" w:fill="FFFFFF"/>
        </w:rPr>
        <w:t>gynaecological</w:t>
      </w:r>
      <w:r w:rsidR="7A4F19EC" w:rsidRPr="003E2E90">
        <w:rPr>
          <w:rFonts w:asciiTheme="minorHAnsi" w:hAnsiTheme="minorHAnsi" w:cstheme="minorBidi"/>
          <w:color w:val="auto"/>
          <w:sz w:val="22"/>
          <w:szCs w:val="22"/>
          <w:shd w:val="clear" w:color="auto" w:fill="FFFFFF"/>
        </w:rPr>
        <w:t xml:space="preserve"> care</w:t>
      </w:r>
      <w:r w:rsidR="45DDDD97" w:rsidRPr="003E2E90">
        <w:rPr>
          <w:rFonts w:asciiTheme="minorHAnsi" w:hAnsiTheme="minorHAnsi" w:cstheme="minorBidi"/>
          <w:color w:val="auto"/>
          <w:sz w:val="22"/>
          <w:szCs w:val="22"/>
          <w:shd w:val="clear" w:color="auto" w:fill="FFFFFF"/>
        </w:rPr>
        <w:t xml:space="preserve">. </w:t>
      </w:r>
      <w:r w:rsidR="07107E1E" w:rsidRPr="003E2E90">
        <w:rPr>
          <w:rFonts w:asciiTheme="minorHAnsi" w:hAnsiTheme="minorHAnsi" w:cstheme="minorBidi"/>
          <w:color w:val="auto"/>
          <w:sz w:val="22"/>
          <w:szCs w:val="22"/>
          <w:shd w:val="clear" w:color="auto" w:fill="FFFFFF"/>
        </w:rPr>
        <w:t xml:space="preserve">Cervical screening, also known as a smear test, </w:t>
      </w:r>
      <w:r w:rsidR="4B882172" w:rsidRPr="003E2E90">
        <w:rPr>
          <w:rFonts w:asciiTheme="minorHAnsi" w:hAnsiTheme="minorHAnsi" w:cstheme="minorBidi"/>
          <w:color w:val="auto"/>
          <w:sz w:val="22"/>
          <w:szCs w:val="22"/>
          <w:shd w:val="clear" w:color="auto" w:fill="FFFFFF"/>
        </w:rPr>
        <w:t xml:space="preserve">is a highly effective way of </w:t>
      </w:r>
      <w:r w:rsidR="2506DF7C" w:rsidRPr="003E2E90">
        <w:rPr>
          <w:rFonts w:asciiTheme="minorHAnsi" w:hAnsiTheme="minorHAnsi" w:cstheme="minorBidi"/>
          <w:color w:val="auto"/>
          <w:sz w:val="22"/>
          <w:szCs w:val="22"/>
          <w:shd w:val="clear" w:color="auto" w:fill="FFFFFF"/>
        </w:rPr>
        <w:t>identifying HPV, a virus linked to 99% of cases.</w:t>
      </w:r>
      <w:r w:rsidR="7BB4169C" w:rsidRPr="003E2E90">
        <w:rPr>
          <w:rFonts w:asciiTheme="minorHAnsi" w:hAnsiTheme="minorHAnsi" w:cstheme="minorBidi"/>
          <w:color w:val="auto"/>
          <w:sz w:val="22"/>
          <w:szCs w:val="22"/>
          <w:shd w:val="clear" w:color="auto" w:fill="FFFFFF"/>
        </w:rPr>
        <w:t xml:space="preserve"> At the age of </w:t>
      </w:r>
      <w:r w:rsidR="683C6971" w:rsidRPr="003E2E90">
        <w:rPr>
          <w:rFonts w:asciiTheme="minorHAnsi" w:hAnsiTheme="minorHAnsi" w:cstheme="minorBidi"/>
          <w:color w:val="auto"/>
          <w:sz w:val="22"/>
          <w:szCs w:val="22"/>
          <w:shd w:val="clear" w:color="auto" w:fill="FFFFFF"/>
        </w:rPr>
        <w:t>25 women and those with a cervix are invited for their first smear test,</w:t>
      </w:r>
      <w:r w:rsidR="3A05C063" w:rsidRPr="003E2E90">
        <w:rPr>
          <w:rFonts w:asciiTheme="minorHAnsi" w:hAnsiTheme="minorHAnsi" w:cstheme="minorBidi"/>
          <w:color w:val="auto"/>
          <w:sz w:val="22"/>
          <w:szCs w:val="22"/>
          <w:shd w:val="clear" w:color="auto" w:fill="FFFFFF"/>
        </w:rPr>
        <w:t xml:space="preserve"> then results depending on a </w:t>
      </w:r>
      <w:r w:rsidR="6EBC2B0A" w:rsidRPr="003E2E90">
        <w:rPr>
          <w:rFonts w:asciiTheme="minorHAnsi" w:hAnsiTheme="minorHAnsi" w:cstheme="minorBidi"/>
          <w:color w:val="auto"/>
          <w:sz w:val="22"/>
          <w:szCs w:val="22"/>
          <w:shd w:val="clear" w:color="auto" w:fill="FFFFFF"/>
        </w:rPr>
        <w:t>one-to-three-year</w:t>
      </w:r>
      <w:r w:rsidR="3A05C063" w:rsidRPr="003E2E90">
        <w:rPr>
          <w:rFonts w:asciiTheme="minorHAnsi" w:hAnsiTheme="minorHAnsi" w:cstheme="minorBidi"/>
          <w:color w:val="auto"/>
          <w:sz w:val="22"/>
          <w:szCs w:val="22"/>
          <w:shd w:val="clear" w:color="auto" w:fill="FFFFFF"/>
        </w:rPr>
        <w:t xml:space="preserve"> basis, d</w:t>
      </w:r>
      <w:r w:rsidR="7BB4169C" w:rsidRPr="003E2E90">
        <w:rPr>
          <w:rFonts w:asciiTheme="minorHAnsi" w:hAnsiTheme="minorHAnsi" w:cstheme="minorBidi"/>
          <w:color w:val="auto"/>
          <w:sz w:val="22"/>
          <w:szCs w:val="22"/>
          <w:shd w:val="clear" w:color="auto" w:fill="FFFFFF"/>
        </w:rPr>
        <w:t>ata on uptake from the NH</w:t>
      </w:r>
      <w:r w:rsidR="3A05C063" w:rsidRPr="003E2E90">
        <w:rPr>
          <w:rFonts w:asciiTheme="minorHAnsi" w:hAnsiTheme="minorHAnsi" w:cstheme="minorBidi"/>
          <w:color w:val="auto"/>
          <w:sz w:val="22"/>
          <w:szCs w:val="22"/>
          <w:shd w:val="clear" w:color="auto" w:fill="FFFFFF"/>
        </w:rPr>
        <w:t xml:space="preserve">S in 2022-2023 showed that a third of women under 50 did not </w:t>
      </w:r>
      <w:r w:rsidR="6EBC2B0A" w:rsidRPr="003E2E90">
        <w:rPr>
          <w:rFonts w:asciiTheme="minorHAnsi" w:hAnsiTheme="minorHAnsi" w:cstheme="minorBidi"/>
          <w:color w:val="auto"/>
          <w:sz w:val="22"/>
          <w:szCs w:val="22"/>
          <w:shd w:val="clear" w:color="auto" w:fill="FFFFFF"/>
        </w:rPr>
        <w:t>take up this offer.</w:t>
      </w:r>
      <w:r w:rsidR="007C559E" w:rsidRPr="003E2E90">
        <w:rPr>
          <w:rStyle w:val="FootnoteReference"/>
          <w:rFonts w:asciiTheme="minorHAnsi" w:hAnsiTheme="minorHAnsi" w:cstheme="minorBidi"/>
          <w:color w:val="auto"/>
          <w:sz w:val="22"/>
          <w:szCs w:val="22"/>
          <w:shd w:val="clear" w:color="auto" w:fill="FFFFFF"/>
        </w:rPr>
        <w:footnoteReference w:id="12"/>
      </w:r>
      <w:r w:rsidR="336F8948" w:rsidRPr="003E2E90">
        <w:rPr>
          <w:rFonts w:asciiTheme="minorHAnsi" w:hAnsiTheme="minorHAnsi" w:cstheme="minorBidi"/>
          <w:color w:val="auto"/>
          <w:sz w:val="22"/>
          <w:szCs w:val="22"/>
          <w:shd w:val="clear" w:color="auto" w:fill="FFFFFF"/>
        </w:rPr>
        <w:t xml:space="preserve"> </w:t>
      </w:r>
      <w:r w:rsidR="4DFC0639" w:rsidRPr="003E2E90">
        <w:rPr>
          <w:rFonts w:asciiTheme="minorHAnsi" w:hAnsiTheme="minorHAnsi" w:cstheme="minorBidi"/>
          <w:color w:val="auto"/>
          <w:sz w:val="22"/>
          <w:szCs w:val="22"/>
          <w:shd w:val="clear" w:color="auto" w:fill="FFFFFF"/>
        </w:rPr>
        <w:t>Research</w:t>
      </w:r>
      <w:r w:rsidR="570A8491" w:rsidRPr="003E2E90">
        <w:rPr>
          <w:rFonts w:asciiTheme="minorHAnsi" w:hAnsiTheme="minorHAnsi" w:cstheme="minorBidi"/>
          <w:color w:val="auto"/>
          <w:sz w:val="22"/>
          <w:szCs w:val="22"/>
          <w:shd w:val="clear" w:color="auto" w:fill="FFFFFF"/>
        </w:rPr>
        <w:t xml:space="preserve"> by Jo’s Cervical Cancer Trust and Rape Crisis </w:t>
      </w:r>
      <w:r w:rsidR="17FAD66A" w:rsidRPr="003E2E90">
        <w:rPr>
          <w:rFonts w:asciiTheme="minorHAnsi" w:hAnsiTheme="minorHAnsi" w:cstheme="minorBidi"/>
          <w:color w:val="auto"/>
          <w:sz w:val="22"/>
          <w:szCs w:val="22"/>
          <w:shd w:val="clear" w:color="auto" w:fill="FFFFFF"/>
        </w:rPr>
        <w:t xml:space="preserve">which surveyed victim/survivors of sexual violence </w:t>
      </w:r>
      <w:r w:rsidR="29494C6B" w:rsidRPr="003E2E90">
        <w:rPr>
          <w:rFonts w:asciiTheme="minorHAnsi" w:hAnsiTheme="minorHAnsi" w:cstheme="minorBidi"/>
          <w:color w:val="auto"/>
          <w:sz w:val="22"/>
          <w:szCs w:val="22"/>
          <w:shd w:val="clear" w:color="auto" w:fill="FFFFFF"/>
        </w:rPr>
        <w:t xml:space="preserve">revealed that </w:t>
      </w:r>
      <w:r w:rsidR="17FAD66A" w:rsidRPr="003E2E90">
        <w:rPr>
          <w:rFonts w:asciiTheme="minorHAnsi" w:hAnsiTheme="minorHAnsi" w:cstheme="minorBidi"/>
          <w:color w:val="auto"/>
          <w:sz w:val="22"/>
          <w:szCs w:val="22"/>
          <w:shd w:val="clear" w:color="auto" w:fill="FFFFFF"/>
        </w:rPr>
        <w:t>48.1%  said they have not attended directly because of their experience of sexual violence, with a further 31 (23.7%) saying they have delayed the test in the past for the same reason.</w:t>
      </w:r>
      <w:r w:rsidR="008687AB" w:rsidRPr="003E2E90">
        <w:rPr>
          <w:rFonts w:asciiTheme="minorHAnsi" w:hAnsiTheme="minorHAnsi" w:cstheme="minorBidi"/>
          <w:color w:val="auto"/>
          <w:sz w:val="22"/>
          <w:szCs w:val="22"/>
          <w:shd w:val="clear" w:color="auto" w:fill="FFFFFF"/>
        </w:rPr>
        <w:t xml:space="preserve"> They also found that 91.2% of victim/survivors felt healthcare professionals need more information to better support survivors.</w:t>
      </w:r>
      <w:r w:rsidR="00EB4B7A" w:rsidRPr="003E2E90">
        <w:rPr>
          <w:rStyle w:val="FootnoteReference"/>
          <w:rFonts w:asciiTheme="minorHAnsi" w:hAnsiTheme="minorHAnsi" w:cstheme="minorBidi"/>
          <w:color w:val="auto"/>
          <w:sz w:val="22"/>
          <w:szCs w:val="22"/>
          <w:shd w:val="clear" w:color="auto" w:fill="FFFFFF"/>
        </w:rPr>
        <w:footnoteReference w:id="13"/>
      </w:r>
      <w:r w:rsidR="008687AB" w:rsidRPr="003E2E90">
        <w:rPr>
          <w:rFonts w:asciiTheme="minorHAnsi" w:hAnsiTheme="minorHAnsi" w:cstheme="minorBidi"/>
          <w:color w:val="auto"/>
          <w:sz w:val="22"/>
          <w:szCs w:val="22"/>
          <w:shd w:val="clear" w:color="auto" w:fill="FFFFFF"/>
        </w:rPr>
        <w:t xml:space="preserve"> </w:t>
      </w:r>
      <w:r w:rsidR="4BC60F0C" w:rsidRPr="003E2E90">
        <w:rPr>
          <w:rFonts w:asciiTheme="minorHAnsi" w:hAnsiTheme="minorHAnsi" w:cstheme="minorBidi"/>
          <w:color w:val="auto"/>
          <w:sz w:val="22"/>
          <w:szCs w:val="22"/>
          <w:shd w:val="clear" w:color="auto" w:fill="FFFFFF"/>
        </w:rPr>
        <w:t xml:space="preserve">This is supported by </w:t>
      </w:r>
      <w:r w:rsidR="40110D15" w:rsidRPr="003E2E90">
        <w:rPr>
          <w:rFonts w:asciiTheme="minorHAnsi" w:hAnsiTheme="minorHAnsi" w:cstheme="minorBidi"/>
          <w:color w:val="auto"/>
          <w:sz w:val="22"/>
          <w:szCs w:val="22"/>
          <w:shd w:val="clear" w:color="auto" w:fill="FFFFFF"/>
        </w:rPr>
        <w:t>a report by</w:t>
      </w:r>
      <w:r w:rsidR="4BC60F0C" w:rsidRPr="003E2E90">
        <w:rPr>
          <w:rFonts w:asciiTheme="minorHAnsi" w:hAnsiTheme="minorHAnsi" w:cstheme="minorBidi"/>
          <w:color w:val="auto"/>
          <w:sz w:val="22"/>
          <w:szCs w:val="22"/>
          <w:shd w:val="clear" w:color="auto" w:fill="FFFFFF"/>
        </w:rPr>
        <w:t xml:space="preserve"> Healthwatch </w:t>
      </w:r>
      <w:r w:rsidR="40110D15" w:rsidRPr="003E2E90">
        <w:rPr>
          <w:rFonts w:asciiTheme="minorHAnsi" w:hAnsiTheme="minorHAnsi" w:cstheme="minorBidi"/>
          <w:color w:val="auto"/>
          <w:sz w:val="22"/>
          <w:szCs w:val="22"/>
          <w:shd w:val="clear" w:color="auto" w:fill="FFFFFF"/>
        </w:rPr>
        <w:t xml:space="preserve">published in 2024 which </w:t>
      </w:r>
      <w:r w:rsidR="0687F650" w:rsidRPr="003E2E90">
        <w:rPr>
          <w:rFonts w:asciiTheme="minorHAnsi" w:hAnsiTheme="minorHAnsi" w:cstheme="minorBidi"/>
          <w:color w:val="auto"/>
          <w:sz w:val="22"/>
          <w:szCs w:val="22"/>
          <w:shd w:val="clear" w:color="auto" w:fill="FFFFFF"/>
        </w:rPr>
        <w:t>showed that 15% of victim/survivors</w:t>
      </w:r>
      <w:r w:rsidR="50E35045" w:rsidRPr="003E2E90">
        <w:rPr>
          <w:rFonts w:asciiTheme="minorHAnsi" w:hAnsiTheme="minorHAnsi" w:cstheme="minorBidi"/>
          <w:color w:val="auto"/>
          <w:sz w:val="22"/>
          <w:szCs w:val="22"/>
          <w:shd w:val="clear" w:color="auto" w:fill="FFFFFF"/>
        </w:rPr>
        <w:t xml:space="preserve"> had been hesitant to access screening due to a</w:t>
      </w:r>
      <w:r w:rsidR="0687F650" w:rsidRPr="003E2E90">
        <w:rPr>
          <w:rFonts w:asciiTheme="minorHAnsi" w:hAnsiTheme="minorHAnsi" w:cstheme="minorBidi"/>
          <w:color w:val="auto"/>
          <w:sz w:val="22"/>
          <w:szCs w:val="22"/>
          <w:shd w:val="clear" w:color="auto" w:fill="FFFFFF"/>
        </w:rPr>
        <w:t xml:space="preserve"> past traumatic experience unrelated to cervical screening</w:t>
      </w:r>
      <w:r w:rsidR="008687AB" w:rsidRPr="003E2E90">
        <w:rPr>
          <w:rFonts w:asciiTheme="minorHAnsi" w:hAnsiTheme="minorHAnsi" w:cstheme="minorBidi"/>
          <w:color w:val="auto"/>
          <w:sz w:val="22"/>
          <w:szCs w:val="22"/>
          <w:shd w:val="clear" w:color="auto" w:fill="FFFFFF"/>
        </w:rPr>
        <w:t xml:space="preserve">, with suggestions </w:t>
      </w:r>
      <w:r w:rsidR="5E763BB5" w:rsidRPr="003E2E90">
        <w:rPr>
          <w:rFonts w:asciiTheme="minorHAnsi" w:hAnsiTheme="minorHAnsi" w:cstheme="minorBidi"/>
          <w:color w:val="auto"/>
          <w:sz w:val="22"/>
          <w:szCs w:val="22"/>
          <w:shd w:val="clear" w:color="auto" w:fill="FFFFFF"/>
        </w:rPr>
        <w:t xml:space="preserve">supported by victim/survivors including Trauma Cards, </w:t>
      </w:r>
      <w:r w:rsidR="343827A7" w:rsidRPr="003E2E90">
        <w:rPr>
          <w:rFonts w:asciiTheme="minorHAnsi" w:hAnsiTheme="minorHAnsi" w:cstheme="minorBidi"/>
          <w:color w:val="auto"/>
          <w:sz w:val="22"/>
          <w:szCs w:val="22"/>
          <w:shd w:val="clear" w:color="auto" w:fill="FFFFFF"/>
        </w:rPr>
        <w:t xml:space="preserve">home-testing and </w:t>
      </w:r>
      <w:r w:rsidR="07893276" w:rsidRPr="003E2E90">
        <w:rPr>
          <w:rFonts w:asciiTheme="minorHAnsi" w:hAnsiTheme="minorHAnsi" w:cstheme="minorBidi"/>
          <w:color w:val="auto"/>
          <w:sz w:val="22"/>
          <w:szCs w:val="22"/>
          <w:shd w:val="clear" w:color="auto" w:fill="FFFFFF"/>
        </w:rPr>
        <w:t>trauma-informed training.</w:t>
      </w:r>
      <w:r w:rsidR="0037279C" w:rsidRPr="003E2E90">
        <w:rPr>
          <w:rStyle w:val="FootnoteReference"/>
          <w:rFonts w:asciiTheme="minorHAnsi" w:hAnsiTheme="minorHAnsi" w:cstheme="minorBidi"/>
          <w:color w:val="auto"/>
          <w:sz w:val="22"/>
          <w:szCs w:val="22"/>
          <w:shd w:val="clear" w:color="auto" w:fill="FFFFFF"/>
        </w:rPr>
        <w:footnoteReference w:id="14"/>
      </w:r>
    </w:p>
    <w:p w14:paraId="0727F50A" w14:textId="77777777" w:rsidR="00977E96" w:rsidRDefault="00977E96" w:rsidP="5BE6DD8F">
      <w:pPr>
        <w:pStyle w:val="Heading8"/>
        <w:rPr>
          <w:rFonts w:asciiTheme="minorHAnsi" w:hAnsiTheme="minorHAnsi" w:cstheme="minorBidi"/>
          <w:color w:val="323132"/>
          <w:sz w:val="22"/>
          <w:szCs w:val="22"/>
          <w:shd w:val="clear" w:color="auto" w:fill="FFFFFF"/>
        </w:rPr>
      </w:pPr>
    </w:p>
    <w:p w14:paraId="31189F13" w14:textId="00898B9A" w:rsidR="00E34DD3" w:rsidRDefault="002F6773" w:rsidP="00972605">
      <w:pPr>
        <w:pStyle w:val="Heading2"/>
      </w:pPr>
      <w:r>
        <w:t>Social and economic cost</w:t>
      </w:r>
      <w:r w:rsidR="00E34DD3">
        <w:t>:</w:t>
      </w:r>
    </w:p>
    <w:p w14:paraId="1B747491" w14:textId="77777777" w:rsidR="00E34DD3" w:rsidRDefault="00E34DD3" w:rsidP="00E34DD3">
      <w:pPr>
        <w:pStyle w:val="Heading4"/>
      </w:pPr>
    </w:p>
    <w:p w14:paraId="6220513A" w14:textId="77777777" w:rsidR="00366B3C" w:rsidRDefault="00906E7C" w:rsidP="00972605">
      <w:r>
        <w:t>Providing a</w:t>
      </w:r>
      <w:r w:rsidR="00F65902">
        <w:t xml:space="preserve"> true </w:t>
      </w:r>
      <w:r>
        <w:t>economic measure of the impact of sexual offences is</w:t>
      </w:r>
      <w:r w:rsidR="00F65902">
        <w:t xml:space="preserve"> not possible. But the most recent </w:t>
      </w:r>
      <w:r w:rsidR="00087D98">
        <w:t>government</w:t>
      </w:r>
      <w:r w:rsidR="00350CFE">
        <w:t xml:space="preserve"> </w:t>
      </w:r>
      <w:r w:rsidR="00F65902">
        <w:t>attempt at an</w:t>
      </w:r>
      <w:r w:rsidR="002F6773">
        <w:t xml:space="preserve"> estimat</w:t>
      </w:r>
      <w:r w:rsidR="00F65902">
        <w:t>e for</w:t>
      </w:r>
      <w:r w:rsidR="002F6773">
        <w:t xml:space="preserve"> the </w:t>
      </w:r>
      <w:r w:rsidR="00AF4908">
        <w:t>cost of</w:t>
      </w:r>
      <w:r w:rsidR="002F6773">
        <w:t xml:space="preserve"> </w:t>
      </w:r>
      <w:r w:rsidR="00947EE2">
        <w:t>sexual offending</w:t>
      </w:r>
      <w:r w:rsidR="00350CFE">
        <w:t xml:space="preserve"> (including rape)</w:t>
      </w:r>
      <w:r w:rsidR="00947EE2">
        <w:t xml:space="preserve"> i</w:t>
      </w:r>
      <w:r w:rsidR="00F65902">
        <w:t xml:space="preserve">n England and Wales </w:t>
      </w:r>
      <w:r w:rsidR="00AC39F3">
        <w:t>is</w:t>
      </w:r>
      <w:r w:rsidR="00947EE2" w:rsidRPr="00947EE2">
        <w:t xml:space="preserve"> £12.2 billion per year</w:t>
      </w:r>
      <w:r w:rsidR="00947EE2">
        <w:t>.</w:t>
      </w:r>
      <w:r w:rsidR="009B2F90">
        <w:t xml:space="preserve"> </w:t>
      </w:r>
      <w:r w:rsidR="006031BF">
        <w:rPr>
          <w:rStyle w:val="FootnoteReference"/>
        </w:rPr>
        <w:footnoteReference w:id="15"/>
      </w:r>
      <w:r w:rsidR="00087D98">
        <w:t xml:space="preserve"> </w:t>
      </w:r>
    </w:p>
    <w:p w14:paraId="7F5A2162" w14:textId="55A035B0" w:rsidR="00366B3C" w:rsidRDefault="001D1F00" w:rsidP="00972605">
      <w:r>
        <w:t xml:space="preserve">Developing a local understanding of the economic and social impact of sexual violence is </w:t>
      </w:r>
      <w:r w:rsidR="00DE48B0">
        <w:t>complex</w:t>
      </w:r>
      <w:r w:rsidR="02C0F1BF">
        <w:t xml:space="preserve"> and th</w:t>
      </w:r>
      <w:r w:rsidR="003E5FB5">
        <w:t xml:space="preserve">ere is a </w:t>
      </w:r>
      <w:r w:rsidR="00EE2183">
        <w:t>reliance on specialist data from local se</w:t>
      </w:r>
      <w:r w:rsidR="00DE48B0">
        <w:t>rvices</w:t>
      </w:r>
      <w:r w:rsidR="17115AD6">
        <w:t>. Using this data is</w:t>
      </w:r>
      <w:r w:rsidR="00DE48B0">
        <w:t xml:space="preserve"> </w:t>
      </w:r>
      <w:r w:rsidR="003E5FB5">
        <w:t xml:space="preserve">challenging due to measurement differences, disproportionate funding </w:t>
      </w:r>
      <w:r w:rsidR="009977DF">
        <w:t>and capacity, multiagency working and data sharing agreements</w:t>
      </w:r>
      <w:r w:rsidR="00311C57">
        <w:t>.</w:t>
      </w:r>
      <w:r w:rsidR="00296737">
        <w:t xml:space="preserve"> </w:t>
      </w:r>
      <w:r w:rsidR="4526BA81">
        <w:t xml:space="preserve">Research in this area has called for the </w:t>
      </w:r>
      <w:r w:rsidR="00161D44">
        <w:t xml:space="preserve">further development </w:t>
      </w:r>
      <w:r w:rsidR="019CF168">
        <w:t>of</w:t>
      </w:r>
      <w:r w:rsidR="00161D44">
        <w:t xml:space="preserve"> mechanisms to enable this valuable </w:t>
      </w:r>
      <w:r w:rsidR="00937E9C">
        <w:t>data to contribute to a wider understanding of violence</w:t>
      </w:r>
      <w:r w:rsidR="12444516">
        <w:t>.</w:t>
      </w:r>
      <w:r w:rsidR="00311C57">
        <w:rPr>
          <w:rStyle w:val="FootnoteReference"/>
        </w:rPr>
        <w:footnoteReference w:id="16"/>
      </w:r>
    </w:p>
    <w:p w14:paraId="313CF6F6" w14:textId="77777777" w:rsidR="000C6AFA" w:rsidRDefault="000C6AFA" w:rsidP="00972605">
      <w:r>
        <w:t xml:space="preserve">In Essex some work has been undertaken in this area, </w:t>
      </w:r>
      <w:r w:rsidR="00F063B3">
        <w:t>by using local Rape Crisis administrative data</w:t>
      </w:r>
      <w:r w:rsidR="002D5CD7">
        <w:t xml:space="preserve"> the estimated l</w:t>
      </w:r>
      <w:r w:rsidR="002D5CD7" w:rsidRPr="002D5CD7">
        <w:t xml:space="preserve">ifetime costs of adult sexual abuse in Essex </w:t>
      </w:r>
      <w:r w:rsidR="00C2686D">
        <w:t>were calculated as</w:t>
      </w:r>
      <w:r w:rsidR="002D5CD7" w:rsidRPr="002D5CD7">
        <w:t xml:space="preserve"> £248,431.50</w:t>
      </w:r>
      <w:r w:rsidR="00724F9A">
        <w:t>.</w:t>
      </w:r>
      <w:r w:rsidR="00724F9A">
        <w:rPr>
          <w:rStyle w:val="FootnoteReference"/>
        </w:rPr>
        <w:footnoteReference w:id="17"/>
      </w:r>
      <w:r w:rsidR="00035E45">
        <w:t xml:space="preserve"> </w:t>
      </w:r>
    </w:p>
    <w:p w14:paraId="484A65F5" w14:textId="35E0A35A" w:rsidR="002C4036" w:rsidRDefault="002C4036" w:rsidP="002C4036">
      <w:pPr>
        <w:pStyle w:val="Style2"/>
      </w:pPr>
      <w:r>
        <w:t>Additional data from the CSEW:</w:t>
      </w:r>
    </w:p>
    <w:p w14:paraId="1713AB1F" w14:textId="06CA8402" w:rsidR="00DE752B" w:rsidRPr="007A001A" w:rsidRDefault="00DE752B" w:rsidP="00DE752B">
      <w:r>
        <w:t>The CSEW provides some indication of the social and economic impact of sexual violence on individuals.</w:t>
      </w:r>
      <w:r w:rsidR="00A51FE7">
        <w:rPr>
          <w:rStyle w:val="FootnoteReference"/>
        </w:rPr>
        <w:footnoteReference w:id="18"/>
      </w:r>
    </w:p>
    <w:p w14:paraId="4509AD66" w14:textId="2880CCF6" w:rsidR="00443FBB" w:rsidRDefault="00DE752B" w:rsidP="00443FBB">
      <w:r>
        <w:t>It shows that</w:t>
      </w:r>
      <w:r w:rsidR="00443FBB">
        <w:t>:</w:t>
      </w:r>
    </w:p>
    <w:p w14:paraId="2FA8D3AE" w14:textId="356D8164" w:rsidR="00FA16CF" w:rsidRDefault="00FA16CF" w:rsidP="00B67805">
      <w:pPr>
        <w:pStyle w:val="ListParagraph"/>
        <w:numPr>
          <w:ilvl w:val="0"/>
          <w:numId w:val="28"/>
        </w:numPr>
      </w:pPr>
      <w:r>
        <w:t>21.1% of respondents took time off work</w:t>
      </w:r>
      <w:r w:rsidR="005F2710">
        <w:t>, ranging from a day to over a month</w:t>
      </w:r>
    </w:p>
    <w:p w14:paraId="4FEC1B7F" w14:textId="2C8FE974" w:rsidR="005F2710" w:rsidRDefault="009075E8" w:rsidP="00B67805">
      <w:pPr>
        <w:pStyle w:val="ListParagraph"/>
        <w:numPr>
          <w:ilvl w:val="0"/>
          <w:numId w:val="13"/>
        </w:numPr>
      </w:pPr>
      <w:r>
        <w:t>5.6% of respondents lost their job or gave up working</w:t>
      </w:r>
    </w:p>
    <w:p w14:paraId="5BA27B0C" w14:textId="03575A99" w:rsidR="00972605" w:rsidRDefault="00972605" w:rsidP="00B67805">
      <w:pPr>
        <w:pStyle w:val="ListParagraph"/>
        <w:numPr>
          <w:ilvl w:val="0"/>
          <w:numId w:val="20"/>
        </w:numPr>
      </w:pPr>
      <w:r>
        <w:t>29.3% of respondents stopped going out so much</w:t>
      </w:r>
    </w:p>
    <w:p w14:paraId="4F0E44F6" w14:textId="5F6BF8A6" w:rsidR="007940A3" w:rsidRPr="00B21157" w:rsidRDefault="00D752A4" w:rsidP="00B67805">
      <w:pPr>
        <w:pStyle w:val="ListParagraph"/>
        <w:numPr>
          <w:ilvl w:val="0"/>
          <w:numId w:val="20"/>
        </w:numPr>
        <w:rPr>
          <w:rStyle w:val="Strong"/>
          <w:b w:val="0"/>
          <w:bCs w:val="0"/>
        </w:rPr>
      </w:pPr>
      <w:r>
        <w:t xml:space="preserve">50% of women and 42% of men reported </w:t>
      </w:r>
      <w:r w:rsidR="00B21157">
        <w:t>a lack of trust or difficulty in other relationships</w:t>
      </w:r>
    </w:p>
    <w:p w14:paraId="559EF43A" w14:textId="22FE54BE" w:rsidR="002C4036" w:rsidRDefault="00234A4B">
      <w:pPr>
        <w:rPr>
          <w:b/>
          <w:bCs/>
        </w:rPr>
      </w:pPr>
      <w:r w:rsidRPr="5BE6DD8F">
        <w:rPr>
          <w:b/>
          <w:bCs/>
        </w:rPr>
        <w:t>Recommendation: To explore the potential for creating Sheffield</w:t>
      </w:r>
      <w:r w:rsidR="00C85A68" w:rsidRPr="5BE6DD8F">
        <w:rPr>
          <w:b/>
          <w:bCs/>
        </w:rPr>
        <w:t xml:space="preserve"> or South Yorkshire</w:t>
      </w:r>
      <w:r w:rsidRPr="5BE6DD8F">
        <w:rPr>
          <w:b/>
          <w:bCs/>
        </w:rPr>
        <w:t xml:space="preserve"> specific understanding of lifetime cost of sexual violence</w:t>
      </w:r>
      <w:r w:rsidR="0099195B" w:rsidRPr="5BE6DD8F">
        <w:rPr>
          <w:b/>
          <w:bCs/>
        </w:rPr>
        <w:t xml:space="preserve"> with local and academic partners.</w:t>
      </w:r>
    </w:p>
    <w:p w14:paraId="560E41D4" w14:textId="72B52602" w:rsidR="00CD21A2" w:rsidRDefault="00CD21A2" w:rsidP="008948B7">
      <w:pPr>
        <w:pStyle w:val="Heading1"/>
        <w:rPr>
          <w:rStyle w:val="Strong"/>
          <w:b w:val="0"/>
          <w:bCs w:val="0"/>
        </w:rPr>
      </w:pPr>
      <w:r w:rsidRPr="5BE6DD8F">
        <w:rPr>
          <w:rStyle w:val="Strong"/>
          <w:b w:val="0"/>
          <w:bCs w:val="0"/>
        </w:rPr>
        <w:t xml:space="preserve">Sexual assault </w:t>
      </w:r>
      <w:r w:rsidR="008948B7" w:rsidRPr="5BE6DD8F">
        <w:rPr>
          <w:rStyle w:val="Strong"/>
          <w:b w:val="0"/>
          <w:bCs w:val="0"/>
        </w:rPr>
        <w:t xml:space="preserve">disclosure </w:t>
      </w:r>
      <w:r w:rsidRPr="5BE6DD8F">
        <w:rPr>
          <w:rStyle w:val="Strong"/>
          <w:b w:val="0"/>
          <w:bCs w:val="0"/>
        </w:rPr>
        <w:t>and prosecution:</w:t>
      </w:r>
    </w:p>
    <w:p w14:paraId="24DA6D57" w14:textId="77777777" w:rsidR="007C41F7" w:rsidRDefault="007C41F7" w:rsidP="00B51CF8">
      <w:pPr>
        <w:pStyle w:val="Heading2"/>
      </w:pPr>
    </w:p>
    <w:p w14:paraId="7712248B" w14:textId="45889C21" w:rsidR="005F0A27" w:rsidRDefault="005D66DA" w:rsidP="00B51CF8">
      <w:pPr>
        <w:pStyle w:val="Heading2"/>
      </w:pPr>
      <w:r>
        <w:t>Disclos</w:t>
      </w:r>
      <w:r w:rsidR="008948B7">
        <w:t>ure</w:t>
      </w:r>
      <w:r w:rsidR="005F0A27">
        <w:t>:</w:t>
      </w:r>
    </w:p>
    <w:p w14:paraId="0C8A2817" w14:textId="7271550E" w:rsidR="008460C7" w:rsidRPr="00E523C2" w:rsidRDefault="008948B7" w:rsidP="5BE6DD8F">
      <w:pPr>
        <w:rPr>
          <w:b/>
          <w:bCs/>
          <w:color w:val="323132"/>
        </w:rPr>
      </w:pPr>
      <w:r>
        <w:t xml:space="preserve">Data from the CSEW shows us that </w:t>
      </w:r>
      <w:r w:rsidR="00E523C2">
        <w:t>an estimated 69% of victims of sexual assault by rape or penetration told someone about what they had experienced. However, it should be noted that m</w:t>
      </w:r>
      <w:r w:rsidR="00E523C2" w:rsidRPr="00E523C2">
        <w:t>ore victims told someone about the rape or assault by penetration when the perpetrator was a stranger (83%) compared to a partner or ex-partner (65%)</w:t>
      </w:r>
      <w:r w:rsidR="006519D2">
        <w:t xml:space="preserve">. </w:t>
      </w:r>
      <w:r w:rsidR="006519D2">
        <w:rPr>
          <w:rStyle w:val="FootnoteReference"/>
        </w:rPr>
        <w:footnoteReference w:id="19"/>
      </w:r>
      <w:r w:rsidR="006519D2">
        <w:rPr>
          <w:noProof/>
        </w:rPr>
        <w:drawing>
          <wp:inline distT="0" distB="0" distL="0" distR="0" wp14:anchorId="2DA9439C" wp14:editId="1375EDB0">
            <wp:extent cx="4616450" cy="6072728"/>
            <wp:effectExtent l="0" t="0" r="0" b="4445"/>
            <wp:docPr id="1141483089" name="Picture 3" descr="A graph showing that the majority of victims tell someone they know personally about sexual assault, at about 60%. Less than 20% reported telling th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83089" name="Picture 3" descr="A graph showing that the majority of victims tell someone they know personally about sexual assault, at about 60%. Less than 20% reported telling the police."/>
                    <pic:cNvPicPr/>
                  </pic:nvPicPr>
                  <pic:blipFill rotWithShape="1">
                    <a:blip r:embed="rId14">
                      <a:extLst>
                        <a:ext uri="{28A0092B-C50C-407E-A947-70E740481C1C}">
                          <a14:useLocalDpi xmlns:a14="http://schemas.microsoft.com/office/drawing/2010/main" val="0"/>
                        </a:ext>
                      </a:extLst>
                    </a:blip>
                    <a:srcRect b="13699"/>
                    <a:stretch/>
                  </pic:blipFill>
                  <pic:spPr bwMode="auto">
                    <a:xfrm>
                      <a:off x="0" y="0"/>
                      <a:ext cx="4678143" cy="6153882"/>
                    </a:xfrm>
                    <a:prstGeom prst="rect">
                      <a:avLst/>
                    </a:prstGeom>
                    <a:ln>
                      <a:noFill/>
                    </a:ln>
                    <a:extLst>
                      <a:ext uri="{53640926-AAD7-44D8-BBD7-CCE9431645EC}">
                        <a14:shadowObscured xmlns:a14="http://schemas.microsoft.com/office/drawing/2010/main"/>
                      </a:ext>
                    </a:extLst>
                  </pic:spPr>
                </pic:pic>
              </a:graphicData>
            </a:graphic>
          </wp:inline>
        </w:drawing>
      </w:r>
      <w:r w:rsidR="00E523C2">
        <w:rPr>
          <w:rFonts w:ascii="Calibri" w:hAnsi="Calibri" w:cs="Calibri"/>
          <w:b/>
          <w:bCs/>
          <w:color w:val="323132"/>
          <w:shd w:val="clear" w:color="auto" w:fill="FFFFFF"/>
        </w:rPr>
        <w:br/>
      </w:r>
      <w:r w:rsidR="004A2682">
        <w:br/>
      </w:r>
      <w:r w:rsidR="004A2682" w:rsidRPr="008460C7">
        <w:rPr>
          <w:rFonts w:ascii="Calibri" w:hAnsi="Calibri" w:cs="Calibri"/>
          <w:b/>
          <w:bCs/>
          <w:color w:val="323132"/>
          <w:shd w:val="clear" w:color="auto" w:fill="FFFFFF"/>
        </w:rPr>
        <w:t>The</w:t>
      </w:r>
      <w:r w:rsidR="004A2682" w:rsidRPr="5BE6DD8F">
        <w:rPr>
          <w:b/>
          <w:bCs/>
          <w:color w:val="323132"/>
          <w:shd w:val="clear" w:color="auto" w:fill="FFFFFF"/>
        </w:rPr>
        <w:t xml:space="preserve"> latest estimates from the CSEW showed that fewer than one in six victims</w:t>
      </w:r>
      <w:r w:rsidR="007D3937" w:rsidRPr="5BE6DD8F">
        <w:rPr>
          <w:b/>
          <w:bCs/>
          <w:color w:val="323132"/>
          <w:shd w:val="clear" w:color="auto" w:fill="FFFFFF"/>
        </w:rPr>
        <w:t xml:space="preserve"> (16%)</w:t>
      </w:r>
      <w:r w:rsidR="004A2682" w:rsidRPr="5BE6DD8F">
        <w:rPr>
          <w:b/>
          <w:bCs/>
          <w:color w:val="323132"/>
          <w:shd w:val="clear" w:color="auto" w:fill="FFFFFF"/>
        </w:rPr>
        <w:t xml:space="preserve"> of rape or assault by penetration reported the crime to the police.</w:t>
      </w:r>
      <w:r w:rsidR="006519D2" w:rsidRPr="5BE6DD8F">
        <w:rPr>
          <w:b/>
          <w:bCs/>
          <w:color w:val="323132"/>
          <w:shd w:val="clear" w:color="auto" w:fill="FFFFFF"/>
        </w:rPr>
        <w:t xml:space="preserve"> There was also a difference in reporting behaviour amongst age groups with just 10% of 16- to 19-year-olds reporting the assault to the police, compared with 27% of 35- to 44-year-olds.</w:t>
      </w:r>
    </w:p>
    <w:p w14:paraId="518F0C9F" w14:textId="34FC0D5A" w:rsidR="00E4582F" w:rsidRPr="00E4582F" w:rsidRDefault="004A4F7E" w:rsidP="5BE6DD8F">
      <w:pPr>
        <w:pStyle w:val="Heading3"/>
        <w:rPr>
          <w:rFonts w:asciiTheme="minorHAnsi" w:hAnsiTheme="minorHAnsi" w:cstheme="minorBidi"/>
          <w:color w:val="323132"/>
          <w:sz w:val="22"/>
          <w:szCs w:val="22"/>
          <w:shd w:val="clear" w:color="auto" w:fill="FFFFFF"/>
        </w:rPr>
      </w:pPr>
      <w:r w:rsidRPr="5BE6DD8F">
        <w:rPr>
          <w:rFonts w:asciiTheme="minorHAnsi" w:hAnsiTheme="minorHAnsi" w:cstheme="minorBidi"/>
          <w:color w:val="323132"/>
          <w:sz w:val="22"/>
          <w:szCs w:val="22"/>
          <w:shd w:val="clear" w:color="auto" w:fill="FFFFFF"/>
        </w:rPr>
        <w:t>For those that did</w:t>
      </w:r>
      <w:r w:rsidR="00E4582F" w:rsidRPr="5BE6DD8F">
        <w:rPr>
          <w:rFonts w:asciiTheme="minorHAnsi" w:hAnsiTheme="minorHAnsi" w:cstheme="minorBidi"/>
          <w:color w:val="323132"/>
          <w:sz w:val="22"/>
          <w:szCs w:val="22"/>
          <w:shd w:val="clear" w:color="auto" w:fill="FFFFFF"/>
        </w:rPr>
        <w:t xml:space="preserve"> </w:t>
      </w:r>
      <w:r w:rsidR="008460C7" w:rsidRPr="5BE6DD8F">
        <w:rPr>
          <w:rFonts w:asciiTheme="minorHAnsi" w:hAnsiTheme="minorHAnsi" w:cstheme="minorBidi"/>
          <w:color w:val="323132"/>
          <w:sz w:val="22"/>
          <w:szCs w:val="22"/>
          <w:shd w:val="clear" w:color="auto" w:fill="FFFFFF"/>
        </w:rPr>
        <w:t xml:space="preserve">report to the police </w:t>
      </w:r>
      <w:r w:rsidR="00E4582F" w:rsidRPr="5BE6DD8F">
        <w:rPr>
          <w:rFonts w:asciiTheme="minorHAnsi" w:hAnsiTheme="minorHAnsi" w:cstheme="minorBidi"/>
          <w:b/>
          <w:bCs/>
          <w:color w:val="323132"/>
          <w:sz w:val="22"/>
          <w:szCs w:val="22"/>
          <w:shd w:val="clear" w:color="auto" w:fill="FFFFFF"/>
        </w:rPr>
        <w:t>the</w:t>
      </w:r>
      <w:r w:rsidR="00E41D3D" w:rsidRPr="5BE6DD8F">
        <w:rPr>
          <w:rFonts w:asciiTheme="minorHAnsi" w:hAnsiTheme="minorHAnsi" w:cstheme="minorBidi"/>
          <w:b/>
          <w:bCs/>
          <w:color w:val="323132"/>
          <w:sz w:val="22"/>
          <w:szCs w:val="22"/>
          <w:shd w:val="clear" w:color="auto" w:fill="FFFFFF"/>
        </w:rPr>
        <w:t xml:space="preserve"> top five</w:t>
      </w:r>
      <w:r w:rsidR="00E4582F" w:rsidRPr="5BE6DD8F">
        <w:rPr>
          <w:rFonts w:asciiTheme="minorHAnsi" w:hAnsiTheme="minorHAnsi" w:cstheme="minorBidi"/>
          <w:b/>
          <w:bCs/>
          <w:color w:val="323132"/>
          <w:sz w:val="22"/>
          <w:szCs w:val="22"/>
          <w:shd w:val="clear" w:color="auto" w:fill="FFFFFF"/>
        </w:rPr>
        <w:t xml:space="preserve"> primary reasons</w:t>
      </w:r>
      <w:r w:rsidR="00E4582F" w:rsidRPr="5BE6DD8F">
        <w:rPr>
          <w:rFonts w:asciiTheme="minorHAnsi" w:hAnsiTheme="minorHAnsi" w:cstheme="minorBidi"/>
          <w:color w:val="323132"/>
          <w:sz w:val="22"/>
          <w:szCs w:val="22"/>
          <w:shd w:val="clear" w:color="auto" w:fill="FFFFFF"/>
        </w:rPr>
        <w:t xml:space="preserve"> were</w:t>
      </w:r>
      <w:r w:rsidRPr="5BE6DD8F">
        <w:rPr>
          <w:rFonts w:asciiTheme="minorHAnsi" w:hAnsiTheme="minorHAnsi" w:cstheme="minorBidi"/>
          <w:color w:val="323132"/>
          <w:sz w:val="22"/>
          <w:szCs w:val="22"/>
          <w:shd w:val="clear" w:color="auto" w:fill="FFFFFF"/>
        </w:rPr>
        <w:t>:</w:t>
      </w:r>
      <w:r w:rsidR="00E4582F">
        <w:rPr>
          <w:rFonts w:asciiTheme="minorHAnsi" w:hAnsiTheme="minorHAnsi" w:cstheme="minorHAnsi"/>
          <w:color w:val="323132"/>
          <w:sz w:val="22"/>
          <w:szCs w:val="22"/>
          <w:shd w:val="clear" w:color="auto" w:fill="FFFFFF"/>
        </w:rPr>
        <w:br/>
      </w:r>
    </w:p>
    <w:p w14:paraId="798380D6" w14:textId="512A56ED" w:rsidR="004A4F7E" w:rsidRPr="00152CEF" w:rsidRDefault="00E4582F" w:rsidP="5BE6DD8F">
      <w:pPr>
        <w:pStyle w:val="ListParagraph"/>
        <w:numPr>
          <w:ilvl w:val="0"/>
          <w:numId w:val="16"/>
        </w:numPr>
      </w:pPr>
      <w:r w:rsidRPr="5BE6DD8F">
        <w:rPr>
          <w:color w:val="323132"/>
          <w:shd w:val="clear" w:color="auto" w:fill="FFFFFF"/>
        </w:rPr>
        <w:t>to prevent it happening to others (47%)</w:t>
      </w:r>
    </w:p>
    <w:p w14:paraId="272F3599" w14:textId="0DAFF775" w:rsidR="004A4F7E" w:rsidRPr="002B55DC" w:rsidRDefault="00152CEF" w:rsidP="5BE6DD8F">
      <w:pPr>
        <w:pStyle w:val="ListParagraph"/>
        <w:numPr>
          <w:ilvl w:val="0"/>
          <w:numId w:val="15"/>
        </w:numPr>
      </w:pPr>
      <w:r w:rsidRPr="5BE6DD8F">
        <w:rPr>
          <w:color w:val="323132"/>
          <w:shd w:val="clear" w:color="auto" w:fill="FFFFFF"/>
        </w:rPr>
        <w:t>believing it to be the right thing to do (44%)</w:t>
      </w:r>
    </w:p>
    <w:p w14:paraId="0478A9E0" w14:textId="0F001401" w:rsidR="00152CEF" w:rsidRPr="00743E0E" w:rsidRDefault="002B55DC" w:rsidP="5BE6DD8F">
      <w:pPr>
        <w:pStyle w:val="ListParagraph"/>
        <w:numPr>
          <w:ilvl w:val="0"/>
          <w:numId w:val="15"/>
        </w:numPr>
      </w:pPr>
      <w:r w:rsidRPr="5BE6DD8F">
        <w:rPr>
          <w:color w:val="323132"/>
          <w:shd w:val="clear" w:color="auto" w:fill="FFFFFF"/>
        </w:rPr>
        <w:t>wanting the perpetrator(s) punished (43%)</w:t>
      </w:r>
    </w:p>
    <w:p w14:paraId="4A26E194" w14:textId="208C27D0" w:rsidR="00743E0E" w:rsidRPr="0086204A" w:rsidRDefault="00743E0E" w:rsidP="5BE6DD8F">
      <w:pPr>
        <w:pStyle w:val="ListParagraph"/>
        <w:numPr>
          <w:ilvl w:val="0"/>
          <w:numId w:val="15"/>
        </w:numPr>
      </w:pPr>
      <w:r w:rsidRPr="5BE6DD8F">
        <w:rPr>
          <w:color w:val="323132"/>
          <w:shd w:val="clear" w:color="auto" w:fill="FFFFFF"/>
        </w:rPr>
        <w:t>to prevent it happening again (</w:t>
      </w:r>
      <w:r w:rsidR="0086204A" w:rsidRPr="5BE6DD8F">
        <w:rPr>
          <w:color w:val="323132"/>
          <w:shd w:val="clear" w:color="auto" w:fill="FFFFFF"/>
        </w:rPr>
        <w:t>40%)</w:t>
      </w:r>
    </w:p>
    <w:p w14:paraId="1E218578" w14:textId="43FB941C" w:rsidR="0086204A" w:rsidRPr="007C41F7" w:rsidRDefault="0086204A" w:rsidP="5BE6DD8F">
      <w:pPr>
        <w:pStyle w:val="ListParagraph"/>
        <w:numPr>
          <w:ilvl w:val="0"/>
          <w:numId w:val="15"/>
        </w:numPr>
      </w:pPr>
      <w:r w:rsidRPr="5BE6DD8F">
        <w:rPr>
          <w:color w:val="323132"/>
          <w:shd w:val="clear" w:color="auto" w:fill="FFFFFF"/>
        </w:rPr>
        <w:t>wanted protection (3</w:t>
      </w:r>
      <w:r w:rsidR="00B01842" w:rsidRPr="5BE6DD8F">
        <w:rPr>
          <w:color w:val="323132"/>
          <w:shd w:val="clear" w:color="auto" w:fill="FFFFFF"/>
        </w:rPr>
        <w:t>1</w:t>
      </w:r>
      <w:r w:rsidRPr="5BE6DD8F">
        <w:rPr>
          <w:color w:val="323132"/>
          <w:shd w:val="clear" w:color="auto" w:fill="FFFFFF"/>
        </w:rPr>
        <w:t>%)</w:t>
      </w:r>
    </w:p>
    <w:p w14:paraId="7C5B474E" w14:textId="77777777" w:rsidR="007C41F7" w:rsidRPr="0086204A" w:rsidRDefault="007C41F7" w:rsidP="007C41F7">
      <w:pPr>
        <w:pStyle w:val="ListParagraph"/>
      </w:pPr>
    </w:p>
    <w:p w14:paraId="3BFB4A14" w14:textId="2704918B" w:rsidR="0086204A" w:rsidRPr="00684D91" w:rsidRDefault="0057616C" w:rsidP="5BE6DD8F">
      <w:pPr>
        <w:rPr>
          <w:b/>
          <w:bCs/>
        </w:rPr>
      </w:pPr>
      <w:r w:rsidRPr="5BE6DD8F">
        <w:rPr>
          <w:b/>
          <w:bCs/>
        </w:rPr>
        <w:t xml:space="preserve">For those of </w:t>
      </w:r>
      <w:r w:rsidR="007D3937" w:rsidRPr="5BE6DD8F">
        <w:rPr>
          <w:b/>
          <w:bCs/>
        </w:rPr>
        <w:t xml:space="preserve">who did not report to the police </w:t>
      </w:r>
      <w:r w:rsidR="0007167A" w:rsidRPr="5BE6DD8F">
        <w:rPr>
          <w:b/>
          <w:bCs/>
        </w:rPr>
        <w:t xml:space="preserve">(84%) </w:t>
      </w:r>
      <w:r w:rsidR="003A1071" w:rsidRPr="5BE6DD8F">
        <w:rPr>
          <w:b/>
          <w:bCs/>
        </w:rPr>
        <w:t>the top five reasons were:</w:t>
      </w:r>
    </w:p>
    <w:p w14:paraId="37BA3EFD" w14:textId="1389565C" w:rsidR="0024678C" w:rsidRPr="00684D91" w:rsidRDefault="00684D91" w:rsidP="5BE6DD8F">
      <w:pPr>
        <w:pStyle w:val="ListParagraph"/>
        <w:numPr>
          <w:ilvl w:val="0"/>
          <w:numId w:val="17"/>
        </w:numPr>
        <w:spacing w:after="0" w:line="240" w:lineRule="auto"/>
        <w:rPr>
          <w:rFonts w:eastAsia="Times New Roman"/>
          <w:kern w:val="0"/>
          <w:lang w:eastAsia="en-GB"/>
          <w14:ligatures w14:val="none"/>
        </w:rPr>
      </w:pPr>
      <w:r w:rsidRPr="5BE6DD8F">
        <w:t>e</w:t>
      </w:r>
      <w:r w:rsidR="0024678C" w:rsidRPr="5BE6DD8F">
        <w:t>mbarrassment (40%)</w:t>
      </w:r>
    </w:p>
    <w:p w14:paraId="1C6B2012" w14:textId="4A74399A" w:rsidR="00E76A43" w:rsidRPr="00684D91" w:rsidRDefault="00684D91" w:rsidP="5BE6DD8F">
      <w:pPr>
        <w:pStyle w:val="ListParagraph"/>
        <w:numPr>
          <w:ilvl w:val="0"/>
          <w:numId w:val="17"/>
        </w:numPr>
        <w:spacing w:after="0" w:line="240" w:lineRule="auto"/>
        <w:rPr>
          <w:rFonts w:eastAsia="Times New Roman"/>
          <w:kern w:val="0"/>
          <w:lang w:eastAsia="en-GB"/>
          <w14:ligatures w14:val="none"/>
        </w:rPr>
      </w:pPr>
      <w:r w:rsidRPr="5BE6DD8F">
        <w:rPr>
          <w:rFonts w:eastAsia="Times New Roman"/>
          <w:kern w:val="0"/>
          <w:lang w:eastAsia="en-GB"/>
          <w14:ligatures w14:val="none"/>
        </w:rPr>
        <w:t>d</w:t>
      </w:r>
      <w:r w:rsidR="0024678C" w:rsidRPr="5BE6DD8F">
        <w:rPr>
          <w:rFonts w:eastAsia="Times New Roman"/>
          <w:kern w:val="0"/>
          <w:lang w:eastAsia="en-GB"/>
          <w14:ligatures w14:val="none"/>
        </w:rPr>
        <w:t>idn't think they could help (38%)</w:t>
      </w:r>
    </w:p>
    <w:p w14:paraId="427A9740" w14:textId="171206D0" w:rsidR="001B14BD" w:rsidRPr="00684D91" w:rsidRDefault="00684D91" w:rsidP="5BE6DD8F">
      <w:pPr>
        <w:pStyle w:val="ListParagraph"/>
        <w:numPr>
          <w:ilvl w:val="0"/>
          <w:numId w:val="17"/>
        </w:numPr>
        <w:spacing w:after="0" w:line="240" w:lineRule="auto"/>
        <w:rPr>
          <w:rFonts w:eastAsia="Times New Roman"/>
          <w:kern w:val="0"/>
          <w:lang w:eastAsia="en-GB"/>
          <w14:ligatures w14:val="none"/>
        </w:rPr>
      </w:pPr>
      <w:r w:rsidRPr="5BE6DD8F">
        <w:rPr>
          <w:rFonts w:eastAsia="Times New Roman"/>
          <w:kern w:val="0"/>
          <w:lang w:eastAsia="en-GB"/>
          <w14:ligatures w14:val="none"/>
        </w:rPr>
        <w:t>t</w:t>
      </w:r>
      <w:r w:rsidR="00E76A43" w:rsidRPr="5BE6DD8F">
        <w:rPr>
          <w:rFonts w:eastAsia="Times New Roman"/>
          <w:kern w:val="0"/>
          <w:lang w:eastAsia="en-GB"/>
          <w14:ligatures w14:val="none"/>
        </w:rPr>
        <w:t>hought it would be humiliating (34%)</w:t>
      </w:r>
    </w:p>
    <w:p w14:paraId="2804D377" w14:textId="6713D79B" w:rsidR="001B14BD" w:rsidRPr="00684D91" w:rsidRDefault="00684D91" w:rsidP="5BE6DD8F">
      <w:pPr>
        <w:pStyle w:val="ListParagraph"/>
        <w:numPr>
          <w:ilvl w:val="0"/>
          <w:numId w:val="17"/>
        </w:numPr>
        <w:spacing w:after="0" w:line="240" w:lineRule="auto"/>
        <w:rPr>
          <w:rFonts w:eastAsia="Times New Roman"/>
          <w:kern w:val="0"/>
          <w:lang w:eastAsia="en-GB"/>
          <w14:ligatures w14:val="none"/>
        </w:rPr>
      </w:pPr>
      <w:r w:rsidRPr="5BE6DD8F">
        <w:rPr>
          <w:rFonts w:eastAsia="Times New Roman"/>
          <w:kern w:val="0"/>
          <w:lang w:eastAsia="en-GB"/>
          <w14:ligatures w14:val="none"/>
        </w:rPr>
        <w:t>d</w:t>
      </w:r>
      <w:r w:rsidR="001B14BD" w:rsidRPr="5BE6DD8F">
        <w:rPr>
          <w:rFonts w:eastAsia="Times New Roman"/>
          <w:kern w:val="0"/>
          <w:lang w:eastAsia="en-GB"/>
          <w14:ligatures w14:val="none"/>
        </w:rPr>
        <w:t>idn't think they would believe me (25%)</w:t>
      </w:r>
    </w:p>
    <w:p w14:paraId="7CAF82B1" w14:textId="73570E39" w:rsidR="0024678C" w:rsidRDefault="00684D91" w:rsidP="5BE6DD8F">
      <w:pPr>
        <w:pStyle w:val="ListParagraph"/>
        <w:numPr>
          <w:ilvl w:val="0"/>
          <w:numId w:val="17"/>
        </w:numPr>
        <w:spacing w:after="0" w:line="240" w:lineRule="auto"/>
        <w:rPr>
          <w:rFonts w:eastAsia="Times New Roman"/>
          <w:kern w:val="0"/>
          <w:lang w:eastAsia="en-GB"/>
          <w14:ligatures w14:val="none"/>
        </w:rPr>
      </w:pPr>
      <w:r w:rsidRPr="5BE6DD8F">
        <w:rPr>
          <w:rFonts w:eastAsia="Times New Roman"/>
          <w:kern w:val="0"/>
          <w:lang w:eastAsia="en-GB"/>
          <w14:ligatures w14:val="none"/>
        </w:rPr>
        <w:t>t</w:t>
      </w:r>
      <w:r w:rsidR="001B14BD" w:rsidRPr="5BE6DD8F">
        <w:rPr>
          <w:rFonts w:eastAsia="Times New Roman"/>
          <w:kern w:val="0"/>
          <w:lang w:eastAsia="en-GB"/>
          <w14:ligatures w14:val="none"/>
        </w:rPr>
        <w:t>oo trivial/not worth reporting</w:t>
      </w:r>
      <w:r w:rsidRPr="5BE6DD8F">
        <w:rPr>
          <w:rFonts w:eastAsia="Times New Roman"/>
          <w:kern w:val="0"/>
          <w:lang w:eastAsia="en-GB"/>
          <w14:ligatures w14:val="none"/>
        </w:rPr>
        <w:t xml:space="preserve"> (22%)</w:t>
      </w:r>
    </w:p>
    <w:p w14:paraId="30F303E0" w14:textId="77777777" w:rsidR="00E32CEB" w:rsidRDefault="00E32CEB" w:rsidP="5BE6DD8F">
      <w:pPr>
        <w:pStyle w:val="Heading3"/>
        <w:rPr>
          <w:rFonts w:asciiTheme="minorHAnsi" w:hAnsiTheme="minorHAnsi" w:cstheme="minorBidi"/>
          <w:color w:val="323132"/>
          <w:sz w:val="22"/>
          <w:szCs w:val="22"/>
          <w:shd w:val="clear" w:color="auto" w:fill="FFFFFF"/>
        </w:rPr>
      </w:pPr>
    </w:p>
    <w:p w14:paraId="5EC22D92" w14:textId="230BA993" w:rsidR="00D4274F" w:rsidRPr="00D4274F" w:rsidRDefault="00E32CEB" w:rsidP="00D4274F">
      <w:pPr>
        <w:pStyle w:val="Heading4"/>
      </w:pPr>
      <w:r>
        <w:t>Trust in the police:</w:t>
      </w:r>
    </w:p>
    <w:p w14:paraId="7FA9DBA5" w14:textId="43899A17" w:rsidR="003C63ED" w:rsidRDefault="00170580" w:rsidP="003C63ED">
      <w:r>
        <w:t xml:space="preserve">In 2021, </w:t>
      </w:r>
      <w:r w:rsidR="00F26835" w:rsidRPr="00F26835">
        <w:t>47% of women and 40% of men reported declining trust in the police following the publication of details about the rape and murder of Sarah Everard by serving Metropolitan Police officer Wayne Couzens.</w:t>
      </w:r>
      <w:r>
        <w:rPr>
          <w:rStyle w:val="FootnoteReference"/>
        </w:rPr>
        <w:footnoteReference w:id="20"/>
      </w:r>
    </w:p>
    <w:p w14:paraId="6177A89B" w14:textId="5ADF4C93" w:rsidR="00500209" w:rsidRPr="003C63ED" w:rsidRDefault="00500209" w:rsidP="003C63ED">
      <w:r>
        <w:t>A 2024 survey of over 1000 women found that a</w:t>
      </w:r>
      <w:r w:rsidRPr="00500209">
        <w:t xml:space="preserve"> quarter of women (25%) said their trust in the police to handle violence against women and girls has gone down over the last year.</w:t>
      </w:r>
      <w:r>
        <w:rPr>
          <w:rStyle w:val="FootnoteReference"/>
        </w:rPr>
        <w:footnoteReference w:id="21"/>
      </w:r>
    </w:p>
    <w:p w14:paraId="6091A441" w14:textId="7BE62E21" w:rsidR="00E32CEB" w:rsidRDefault="00E32CEB" w:rsidP="5BE6DD8F">
      <w:pPr>
        <w:pStyle w:val="Heading3"/>
        <w:rPr>
          <w:rFonts w:asciiTheme="minorHAnsi" w:hAnsiTheme="minorHAnsi" w:cstheme="minorBidi"/>
          <w:color w:val="323132"/>
          <w:sz w:val="22"/>
          <w:szCs w:val="22"/>
          <w:shd w:val="clear" w:color="auto" w:fill="FFFFFF"/>
        </w:rPr>
      </w:pPr>
      <w:r w:rsidRPr="5BE6DD8F">
        <w:rPr>
          <w:rFonts w:asciiTheme="minorHAnsi" w:hAnsiTheme="minorHAnsi" w:cstheme="minorBidi"/>
          <w:color w:val="323132"/>
          <w:sz w:val="22"/>
          <w:szCs w:val="22"/>
          <w:shd w:val="clear" w:color="auto" w:fill="FFFFFF"/>
        </w:rPr>
        <w:t>Plan International UK found that one in five girls and young women (20%) did not trust the police at all to help them if they are in difficulty, with up to one in four 17- to 21-year-olds actively recording distrust in the police (24%).</w:t>
      </w:r>
      <w:r w:rsidRPr="5BE6DD8F">
        <w:rPr>
          <w:rStyle w:val="FootnoteReference"/>
          <w:rFonts w:asciiTheme="minorHAnsi" w:hAnsiTheme="minorHAnsi" w:cstheme="minorBidi"/>
          <w:color w:val="323132"/>
          <w:sz w:val="22"/>
          <w:szCs w:val="22"/>
          <w:shd w:val="clear" w:color="auto" w:fill="FFFFFF"/>
        </w:rPr>
        <w:footnoteReference w:id="22"/>
      </w:r>
      <w:r w:rsidRPr="5BE6DD8F">
        <w:rPr>
          <w:rFonts w:asciiTheme="minorHAnsi" w:hAnsiTheme="minorHAnsi" w:cstheme="minorBidi"/>
          <w:color w:val="323132"/>
          <w:sz w:val="22"/>
          <w:szCs w:val="22"/>
          <w:shd w:val="clear" w:color="auto" w:fill="FFFFFF"/>
        </w:rPr>
        <w:t xml:space="preserve"> </w:t>
      </w:r>
    </w:p>
    <w:p w14:paraId="3A956C46" w14:textId="77777777" w:rsidR="00F81B44" w:rsidRDefault="00F81B44" w:rsidP="00F81B44">
      <w:pPr>
        <w:pStyle w:val="Heading4"/>
      </w:pPr>
    </w:p>
    <w:p w14:paraId="52DAA2AF" w14:textId="1EB5AC08" w:rsidR="002C37B8" w:rsidRDefault="00A8469C" w:rsidP="00F81B44">
      <w:pPr>
        <w:pStyle w:val="Heading4"/>
      </w:pPr>
      <w:r>
        <w:t xml:space="preserve">The role of </w:t>
      </w:r>
      <w:r w:rsidR="00F81B44">
        <w:t xml:space="preserve">wider </w:t>
      </w:r>
      <w:r>
        <w:t xml:space="preserve">societal </w:t>
      </w:r>
      <w:r w:rsidR="00A2654A">
        <w:t>attitudes</w:t>
      </w:r>
      <w:r>
        <w:t xml:space="preserve"> in disclosing and reporting decisions:</w:t>
      </w:r>
      <w:r>
        <w:br/>
      </w:r>
    </w:p>
    <w:p w14:paraId="516E7FAC" w14:textId="4EBF453C" w:rsidR="00A2654A" w:rsidRDefault="00A2654A" w:rsidP="00256AD8">
      <w:r>
        <w:t xml:space="preserve">Gender inequality is known to be a key driver of VAWG, with the Council of Europe identifying four factors as the root of the </w:t>
      </w:r>
      <w:r w:rsidR="00B51CF8">
        <w:t>problem:</w:t>
      </w:r>
      <w:r>
        <w:t xml:space="preserve"> cultural, legal, economic and political factors. </w:t>
      </w:r>
    </w:p>
    <w:p w14:paraId="30D77BCE" w14:textId="06462C56" w:rsidR="00A8469C" w:rsidRPr="00256AD8" w:rsidRDefault="00A8469C" w:rsidP="00256AD8">
      <w:r>
        <w:t>Recent research by the Crown Prosecution Service has revealed that societal</w:t>
      </w:r>
      <w:r w:rsidRPr="00A8469C">
        <w:t> myths and stereotypes attitudes towards women’s credibility</w:t>
      </w:r>
      <w:r>
        <w:t xml:space="preserve"> as a victim</w:t>
      </w:r>
      <w:r w:rsidRPr="00A8469C">
        <w:t xml:space="preserve"> remain deeply rooted across society – particularly among young people</w:t>
      </w:r>
      <w:r w:rsidR="0035543A">
        <w:t>, and despite some progress misconceptions around rape and consent are still prevalent.</w:t>
      </w:r>
      <w:r>
        <w:rPr>
          <w:rStyle w:val="FootnoteReference"/>
        </w:rPr>
        <w:footnoteReference w:id="23"/>
      </w:r>
      <w:r>
        <w:t xml:space="preserve"> The findings of this research are summarised below. </w:t>
      </w:r>
    </w:p>
    <w:p w14:paraId="5A2512E1" w14:textId="48F90268" w:rsidR="00901707" w:rsidRPr="00F71D16" w:rsidRDefault="00901707" w:rsidP="5BE6DD8F">
      <w:pPr>
        <w:rPr>
          <w:b/>
          <w:bCs/>
        </w:rPr>
      </w:pPr>
      <w:r w:rsidRPr="5BE6DD8F">
        <w:rPr>
          <w:b/>
          <w:bCs/>
        </w:rPr>
        <w:t>Consent:</w:t>
      </w:r>
    </w:p>
    <w:p w14:paraId="75E367C5" w14:textId="6F57723C" w:rsidR="00CA4D57" w:rsidRPr="00F71D16" w:rsidRDefault="00CA4D57" w:rsidP="5BE6DD8F">
      <w:pPr>
        <w:numPr>
          <w:ilvl w:val="0"/>
          <w:numId w:val="12"/>
        </w:numPr>
        <w:shd w:val="clear" w:color="auto" w:fill="FFFFFF" w:themeFill="background1"/>
        <w:spacing w:before="100" w:beforeAutospacing="1" w:after="100" w:afterAutospacing="1" w:line="240" w:lineRule="auto"/>
        <w:rPr>
          <w:rStyle w:val="Strong"/>
          <w:rFonts w:eastAsia="Times New Roman"/>
          <w:b w:val="0"/>
          <w:bCs w:val="0"/>
          <w:kern w:val="0"/>
          <w:lang w:eastAsia="en-GB"/>
          <w14:ligatures w14:val="none"/>
        </w:rPr>
      </w:pPr>
      <w:r w:rsidRPr="5BE6DD8F">
        <w:rPr>
          <w:rFonts w:eastAsia="Times New Roman"/>
          <w:b/>
          <w:bCs/>
          <w:kern w:val="0"/>
          <w:lang w:eastAsia="en-GB"/>
          <w14:ligatures w14:val="none"/>
        </w:rPr>
        <w:t>70%</w:t>
      </w:r>
      <w:r w:rsidRPr="5BE6DD8F">
        <w:rPr>
          <w:rFonts w:eastAsia="Times New Roman"/>
          <w:kern w:val="0"/>
          <w:lang w:eastAsia="en-GB"/>
          <w14:ligatures w14:val="none"/>
        </w:rPr>
        <w:t xml:space="preserve"> knew that being in a relationship or marriage does not mean consent to sex can be assumed.</w:t>
      </w:r>
    </w:p>
    <w:p w14:paraId="1BF5A777" w14:textId="77777777" w:rsidR="008202C3" w:rsidRPr="00F71D16" w:rsidRDefault="00901707" w:rsidP="5BE6DD8F">
      <w:pPr>
        <w:pStyle w:val="ListParagraph"/>
        <w:numPr>
          <w:ilvl w:val="0"/>
          <w:numId w:val="12"/>
        </w:numPr>
        <w:spacing w:line="240" w:lineRule="auto"/>
      </w:pPr>
      <w:r w:rsidRPr="5BE6DD8F">
        <w:rPr>
          <w:rStyle w:val="Strong"/>
          <w:shd w:val="clear" w:color="auto" w:fill="FFFFFF"/>
        </w:rPr>
        <w:t>62%</w:t>
      </w:r>
      <w:r w:rsidRPr="5BE6DD8F">
        <w:rPr>
          <w:shd w:val="clear" w:color="auto" w:fill="FFFFFF"/>
        </w:rPr>
        <w:t xml:space="preserve"> of respondents recognised that even if no physical force is involved a person might not be free and able to consent to sex; </w:t>
      </w:r>
      <w:r w:rsidR="00A7578E" w:rsidRPr="5BE6DD8F">
        <w:rPr>
          <w:shd w:val="clear" w:color="auto" w:fill="FFFFFF"/>
        </w:rPr>
        <w:t xml:space="preserve">in people aged 16-24 this was only </w:t>
      </w:r>
      <w:r w:rsidR="00A7578E" w:rsidRPr="5BE6DD8F">
        <w:rPr>
          <w:b/>
          <w:bCs/>
          <w:shd w:val="clear" w:color="auto" w:fill="FFFFFF"/>
        </w:rPr>
        <w:t>40%</w:t>
      </w:r>
      <w:r w:rsidR="00A7578E" w:rsidRPr="5BE6DD8F">
        <w:rPr>
          <w:shd w:val="clear" w:color="auto" w:fill="FFFFFF"/>
        </w:rPr>
        <w:t>.</w:t>
      </w:r>
    </w:p>
    <w:p w14:paraId="1B15D997" w14:textId="014450AC" w:rsidR="008202C3" w:rsidRPr="00F71D16" w:rsidRDefault="00CA2895" w:rsidP="5BE6DD8F">
      <w:pPr>
        <w:pStyle w:val="ListParagraph"/>
        <w:numPr>
          <w:ilvl w:val="0"/>
          <w:numId w:val="12"/>
        </w:numPr>
        <w:spacing w:line="240" w:lineRule="auto"/>
      </w:pPr>
      <w:r w:rsidRPr="5BE6DD8F">
        <w:rPr>
          <w:rStyle w:val="Strong"/>
          <w:shd w:val="clear" w:color="auto" w:fill="FFFFFF"/>
        </w:rPr>
        <w:t xml:space="preserve">49% </w:t>
      </w:r>
      <w:r w:rsidRPr="5BE6DD8F">
        <w:rPr>
          <w:rStyle w:val="Strong"/>
          <w:b w:val="0"/>
          <w:bCs w:val="0"/>
          <w:shd w:val="clear" w:color="auto" w:fill="FFFFFF"/>
        </w:rPr>
        <w:t>of respondents said</w:t>
      </w:r>
      <w:r w:rsidR="008202C3" w:rsidRPr="5BE6DD8F">
        <w:rPr>
          <w:rFonts w:eastAsia="Times New Roman"/>
          <w:kern w:val="0"/>
          <w:lang w:eastAsia="en-GB"/>
          <w14:ligatures w14:val="none"/>
        </w:rPr>
        <w:t xml:space="preserve"> they were unsure or did not know what </w:t>
      </w:r>
      <w:r w:rsidRPr="5BE6DD8F">
        <w:rPr>
          <w:rFonts w:eastAsia="Times New Roman"/>
          <w:kern w:val="0"/>
          <w:lang w:eastAsia="en-GB"/>
          <w14:ligatures w14:val="none"/>
        </w:rPr>
        <w:t>reasonable consent meant.</w:t>
      </w:r>
    </w:p>
    <w:p w14:paraId="166E6078" w14:textId="7233C136" w:rsidR="00946E5B" w:rsidRPr="00F71D16" w:rsidRDefault="00280D32" w:rsidP="5BE6DD8F">
      <w:pPr>
        <w:pStyle w:val="ListParagraph"/>
        <w:numPr>
          <w:ilvl w:val="0"/>
          <w:numId w:val="12"/>
        </w:numPr>
        <w:spacing w:line="240" w:lineRule="auto"/>
      </w:pPr>
      <w:r w:rsidRPr="5BE6DD8F">
        <w:rPr>
          <w:b/>
          <w:bCs/>
          <w:shd w:val="clear" w:color="auto" w:fill="FFFFFF"/>
        </w:rPr>
        <w:t>54%</w:t>
      </w:r>
      <w:r w:rsidRPr="5BE6DD8F">
        <w:rPr>
          <w:shd w:val="clear" w:color="auto" w:fill="FFFFFF"/>
        </w:rPr>
        <w:t xml:space="preserve"> of respondents knew that if a person says </w:t>
      </w:r>
      <w:r w:rsidR="00946E5B" w:rsidRPr="5BE6DD8F">
        <w:rPr>
          <w:shd w:val="clear" w:color="auto" w:fill="FFFFFF"/>
        </w:rPr>
        <w:t>online,</w:t>
      </w:r>
      <w:r w:rsidRPr="5BE6DD8F">
        <w:rPr>
          <w:shd w:val="clear" w:color="auto" w:fill="FFFFFF"/>
        </w:rPr>
        <w:t xml:space="preserve"> they want to meet up and have sex, that doesn’t mean they have to have sex when they meet; in people aged 16-24 this was only </w:t>
      </w:r>
      <w:r w:rsidR="00946E5B" w:rsidRPr="5BE6DD8F">
        <w:rPr>
          <w:b/>
          <w:bCs/>
          <w:shd w:val="clear" w:color="auto" w:fill="FFFFFF"/>
        </w:rPr>
        <w:t>28</w:t>
      </w:r>
      <w:r w:rsidRPr="5BE6DD8F">
        <w:rPr>
          <w:b/>
          <w:bCs/>
          <w:shd w:val="clear" w:color="auto" w:fill="FFFFFF"/>
        </w:rPr>
        <w:t>%</w:t>
      </w:r>
      <w:r w:rsidRPr="5BE6DD8F">
        <w:rPr>
          <w:shd w:val="clear" w:color="auto" w:fill="FFFFFF"/>
        </w:rPr>
        <w:t>.</w:t>
      </w:r>
    </w:p>
    <w:p w14:paraId="3960CE1E" w14:textId="2675F616" w:rsidR="00EF0142" w:rsidRPr="00F71D16" w:rsidRDefault="00774CDD" w:rsidP="5BE6DD8F">
      <w:pPr>
        <w:rPr>
          <w:b/>
          <w:bCs/>
        </w:rPr>
      </w:pPr>
      <w:r w:rsidRPr="5BE6DD8F">
        <w:rPr>
          <w:b/>
          <w:bCs/>
        </w:rPr>
        <w:t xml:space="preserve">Victim </w:t>
      </w:r>
      <w:r w:rsidR="005A6A17" w:rsidRPr="5BE6DD8F">
        <w:rPr>
          <w:b/>
          <w:bCs/>
        </w:rPr>
        <w:t>response</w:t>
      </w:r>
      <w:r w:rsidRPr="5BE6DD8F">
        <w:rPr>
          <w:b/>
          <w:bCs/>
        </w:rPr>
        <w:t>:</w:t>
      </w:r>
    </w:p>
    <w:p w14:paraId="773DD1C1" w14:textId="16B03159" w:rsidR="00D76A2B" w:rsidRPr="00F71D16" w:rsidRDefault="00D76A2B" w:rsidP="5BE6DD8F">
      <w:pPr>
        <w:numPr>
          <w:ilvl w:val="0"/>
          <w:numId w:val="10"/>
        </w:numPr>
        <w:shd w:val="clear" w:color="auto" w:fill="FFFFFF" w:themeFill="background1"/>
        <w:spacing w:before="100" w:beforeAutospacing="1" w:after="100" w:afterAutospacing="1" w:line="240" w:lineRule="auto"/>
        <w:rPr>
          <w:rFonts w:eastAsia="Times New Roman"/>
          <w:kern w:val="0"/>
          <w:lang w:eastAsia="en-GB"/>
          <w14:ligatures w14:val="none"/>
        </w:rPr>
      </w:pPr>
      <w:r w:rsidRPr="5BE6DD8F">
        <w:rPr>
          <w:rFonts w:eastAsia="Times New Roman"/>
          <w:b/>
          <w:bCs/>
          <w:kern w:val="0"/>
          <w:lang w:eastAsia="en-GB"/>
          <w14:ligatures w14:val="none"/>
        </w:rPr>
        <w:t xml:space="preserve">74% </w:t>
      </w:r>
      <w:r w:rsidR="006E667C" w:rsidRPr="5BE6DD8F">
        <w:rPr>
          <w:rFonts w:eastAsia="Times New Roman"/>
          <w:kern w:val="0"/>
          <w:lang w:eastAsia="en-GB"/>
          <w14:ligatures w14:val="none"/>
        </w:rPr>
        <w:t>knew that it can still be rape if a victim doesn’t resist or fight back </w:t>
      </w:r>
    </w:p>
    <w:p w14:paraId="652CE51B" w14:textId="0357F39B" w:rsidR="000B58C5" w:rsidRPr="00F71D16" w:rsidRDefault="006E667C" w:rsidP="5BE6DD8F">
      <w:pPr>
        <w:numPr>
          <w:ilvl w:val="0"/>
          <w:numId w:val="10"/>
        </w:numPr>
        <w:shd w:val="clear" w:color="auto" w:fill="FFFFFF" w:themeFill="background1"/>
        <w:spacing w:before="100" w:beforeAutospacing="1" w:after="100" w:afterAutospacing="1" w:line="240" w:lineRule="auto"/>
        <w:rPr>
          <w:rFonts w:eastAsia="Times New Roman"/>
          <w:kern w:val="0"/>
          <w:lang w:eastAsia="en-GB"/>
          <w14:ligatures w14:val="none"/>
        </w:rPr>
      </w:pPr>
      <w:r w:rsidRPr="2861DB05">
        <w:rPr>
          <w:rFonts w:eastAsia="Times New Roman"/>
          <w:b/>
          <w:bCs/>
          <w:kern w:val="0"/>
          <w:lang w:eastAsia="en-GB"/>
          <w14:ligatures w14:val="none"/>
        </w:rPr>
        <w:t xml:space="preserve">67% </w:t>
      </w:r>
      <w:r w:rsidRPr="2861DB05">
        <w:rPr>
          <w:rFonts w:eastAsia="Times New Roman"/>
          <w:kern w:val="0"/>
          <w:lang w:eastAsia="en-GB"/>
          <w14:ligatures w14:val="none"/>
        </w:rPr>
        <w:t>knew that</w:t>
      </w:r>
      <w:r w:rsidRPr="2861DB05">
        <w:rPr>
          <w:rFonts w:eastAsia="Times New Roman"/>
          <w:b/>
          <w:bCs/>
          <w:kern w:val="0"/>
          <w:lang w:eastAsia="en-GB"/>
          <w14:ligatures w14:val="none"/>
        </w:rPr>
        <w:t xml:space="preserve"> </w:t>
      </w:r>
      <w:r w:rsidR="1E0EF3D8" w:rsidRPr="2861DB05">
        <w:rPr>
          <w:rFonts w:eastAsia="Times New Roman"/>
          <w:kern w:val="0"/>
          <w:lang w:eastAsia="en-GB"/>
          <w14:ligatures w14:val="none"/>
        </w:rPr>
        <w:t>v</w:t>
      </w:r>
      <w:r w:rsidRPr="2861DB05">
        <w:rPr>
          <w:rFonts w:eastAsia="Times New Roman"/>
          <w:kern w:val="0"/>
          <w:lang w:eastAsia="en-GB"/>
          <w14:ligatures w14:val="none"/>
        </w:rPr>
        <w:t>ictims may not immediately report to the police </w:t>
      </w:r>
    </w:p>
    <w:p w14:paraId="70867DD6" w14:textId="68D3120A" w:rsidR="002A715E" w:rsidRPr="00F71D16" w:rsidRDefault="000B58C5" w:rsidP="5BE6DD8F">
      <w:pPr>
        <w:numPr>
          <w:ilvl w:val="0"/>
          <w:numId w:val="10"/>
        </w:numPr>
        <w:shd w:val="clear" w:color="auto" w:fill="FFFFFF" w:themeFill="background1"/>
        <w:spacing w:before="100" w:beforeAutospacing="1" w:after="100" w:afterAutospacing="1" w:line="240" w:lineRule="auto"/>
        <w:rPr>
          <w:rFonts w:eastAsia="Times New Roman"/>
          <w:kern w:val="0"/>
          <w:lang w:eastAsia="en-GB"/>
          <w14:ligatures w14:val="none"/>
        </w:rPr>
      </w:pPr>
      <w:r w:rsidRPr="5BE6DD8F">
        <w:rPr>
          <w:rFonts w:eastAsia="Times New Roman"/>
          <w:kern w:val="0"/>
          <w:lang w:eastAsia="en-GB"/>
          <w14:ligatures w14:val="none"/>
        </w:rPr>
        <w:t xml:space="preserve">Only </w:t>
      </w:r>
      <w:r w:rsidRPr="5BE6DD8F">
        <w:rPr>
          <w:rFonts w:eastAsia="Times New Roman"/>
          <w:b/>
          <w:bCs/>
          <w:kern w:val="0"/>
          <w:lang w:eastAsia="en-GB"/>
          <w14:ligatures w14:val="none"/>
        </w:rPr>
        <w:t xml:space="preserve">26% </w:t>
      </w:r>
      <w:r w:rsidRPr="5BE6DD8F">
        <w:rPr>
          <w:rFonts w:eastAsia="Times New Roman"/>
          <w:kern w:val="0"/>
          <w:lang w:eastAsia="en-GB"/>
          <w14:ligatures w14:val="none"/>
        </w:rPr>
        <w:t>knew</w:t>
      </w:r>
      <w:r w:rsidR="00E766A2" w:rsidRPr="5BE6DD8F">
        <w:rPr>
          <w:rFonts w:eastAsia="Times New Roman"/>
          <w:kern w:val="0"/>
          <w:lang w:eastAsia="en-GB"/>
          <w14:ligatures w14:val="none"/>
        </w:rPr>
        <w:t xml:space="preserve"> victims will not always seem distressed when talking about what happened to them </w:t>
      </w:r>
    </w:p>
    <w:p w14:paraId="7DC7A99F" w14:textId="1641B6B8" w:rsidR="000B58C5" w:rsidRPr="00F71D16" w:rsidRDefault="005E5B36" w:rsidP="5BE6DD8F">
      <w:pPr>
        <w:shd w:val="clear" w:color="auto" w:fill="FFFFFF" w:themeFill="background1"/>
        <w:spacing w:before="100" w:beforeAutospacing="1" w:after="100" w:afterAutospacing="1" w:line="240" w:lineRule="auto"/>
        <w:rPr>
          <w:rFonts w:eastAsia="Times New Roman"/>
          <w:b/>
          <w:bCs/>
          <w:kern w:val="0"/>
          <w:lang w:eastAsia="en-GB"/>
          <w14:ligatures w14:val="none"/>
        </w:rPr>
      </w:pPr>
      <w:r w:rsidRPr="5BE6DD8F">
        <w:rPr>
          <w:rFonts w:eastAsia="Times New Roman"/>
          <w:b/>
          <w:bCs/>
          <w:kern w:val="0"/>
          <w:lang w:eastAsia="en-GB"/>
          <w14:ligatures w14:val="none"/>
        </w:rPr>
        <w:t>Perpetrator actions:</w:t>
      </w:r>
    </w:p>
    <w:p w14:paraId="544C1A2C" w14:textId="5ACF5821" w:rsidR="005608FE" w:rsidRPr="00F71D16" w:rsidRDefault="00946E5B" w:rsidP="5BE6DD8F">
      <w:pPr>
        <w:numPr>
          <w:ilvl w:val="0"/>
          <w:numId w:val="11"/>
        </w:numPr>
        <w:shd w:val="clear" w:color="auto" w:fill="FFFFFF" w:themeFill="background1"/>
        <w:spacing w:before="100" w:beforeAutospacing="1" w:after="100" w:afterAutospacing="1" w:line="240" w:lineRule="auto"/>
        <w:rPr>
          <w:rFonts w:ascii="Lato" w:eastAsia="Times New Roman" w:hAnsi="Lato" w:cs="Times New Roman"/>
          <w:kern w:val="0"/>
          <w:sz w:val="24"/>
          <w:szCs w:val="24"/>
          <w:lang w:eastAsia="en-GB"/>
          <w14:ligatures w14:val="none"/>
        </w:rPr>
      </w:pPr>
      <w:r w:rsidRPr="5BE6DD8F">
        <w:rPr>
          <w:rFonts w:eastAsia="Times New Roman"/>
          <w:b/>
          <w:bCs/>
          <w:kern w:val="0"/>
          <w:lang w:eastAsia="en-GB"/>
          <w14:ligatures w14:val="none"/>
        </w:rPr>
        <w:t>71%</w:t>
      </w:r>
      <w:r w:rsidRPr="5BE6DD8F">
        <w:rPr>
          <w:rFonts w:eastAsia="Times New Roman"/>
          <w:kern w:val="0"/>
          <w:lang w:eastAsia="en-GB"/>
          <w14:ligatures w14:val="none"/>
        </w:rPr>
        <w:t xml:space="preserve"> of people knew that i</w:t>
      </w:r>
      <w:r w:rsidR="009D2E1D" w:rsidRPr="5BE6DD8F">
        <w:rPr>
          <w:rFonts w:eastAsia="Times New Roman"/>
          <w:kern w:val="0"/>
          <w:lang w:eastAsia="en-GB"/>
          <w14:ligatures w14:val="none"/>
        </w:rPr>
        <w:t xml:space="preserve">f a man has been drinking or taking drugs, he is still responsible if he rapes </w:t>
      </w:r>
      <w:r w:rsidRPr="5BE6DD8F">
        <w:rPr>
          <w:rFonts w:eastAsia="Times New Roman"/>
          <w:kern w:val="0"/>
          <w:lang w:eastAsia="en-GB"/>
          <w14:ligatures w14:val="none"/>
        </w:rPr>
        <w:t>someone, i</w:t>
      </w:r>
      <w:r w:rsidR="00776B73" w:rsidRPr="5BE6DD8F">
        <w:rPr>
          <w:rFonts w:eastAsia="Times New Roman"/>
          <w:kern w:val="0"/>
          <w:lang w:eastAsia="en-GB"/>
          <w14:ligatures w14:val="none"/>
        </w:rPr>
        <w:t>n the 18-24 group</w:t>
      </w:r>
      <w:r w:rsidR="005608FE" w:rsidRPr="5BE6DD8F">
        <w:rPr>
          <w:rFonts w:eastAsia="Times New Roman"/>
          <w:kern w:val="0"/>
          <w:lang w:eastAsia="en-GB"/>
          <w14:ligatures w14:val="none"/>
        </w:rPr>
        <w:t xml:space="preserve"> this fell to </w:t>
      </w:r>
      <w:r w:rsidR="00776B73" w:rsidRPr="5BE6DD8F">
        <w:rPr>
          <w:rFonts w:eastAsia="Times New Roman"/>
          <w:b/>
          <w:bCs/>
          <w:kern w:val="0"/>
          <w:lang w:eastAsia="en-GB"/>
          <w14:ligatures w14:val="none"/>
        </w:rPr>
        <w:t>46%</w:t>
      </w:r>
      <w:r w:rsidR="005608FE" w:rsidRPr="5BE6DD8F">
        <w:rPr>
          <w:rFonts w:eastAsia="Times New Roman"/>
          <w:b/>
          <w:bCs/>
          <w:kern w:val="0"/>
          <w:lang w:eastAsia="en-GB"/>
          <w14:ligatures w14:val="none"/>
        </w:rPr>
        <w:t>.</w:t>
      </w:r>
      <w:r w:rsidR="005608FE" w:rsidRPr="00F71D16">
        <w:rPr>
          <w:rFonts w:ascii="Lato" w:eastAsia="Times New Roman" w:hAnsi="Lato" w:cs="Times New Roman"/>
          <w:b/>
          <w:bCs/>
          <w:kern w:val="0"/>
          <w:sz w:val="24"/>
          <w:szCs w:val="24"/>
          <w:lang w:eastAsia="en-GB"/>
          <w14:ligatures w14:val="none"/>
        </w:rPr>
        <w:t xml:space="preserve"> </w:t>
      </w:r>
      <w:r w:rsidR="00776B73" w:rsidRPr="00F71D16">
        <w:rPr>
          <w:rFonts w:ascii="Lato" w:eastAsia="Times New Roman" w:hAnsi="Lato" w:cs="Times New Roman"/>
          <w:b/>
          <w:bCs/>
          <w:kern w:val="0"/>
          <w:sz w:val="24"/>
          <w:szCs w:val="24"/>
          <w:lang w:eastAsia="en-GB"/>
          <w14:ligatures w14:val="none"/>
        </w:rPr>
        <w:t xml:space="preserve"> </w:t>
      </w:r>
    </w:p>
    <w:p w14:paraId="65A55C8A" w14:textId="54ABF562" w:rsidR="006A3893" w:rsidRPr="00165A4B" w:rsidRDefault="005608FE" w:rsidP="5BE6DD8F">
      <w:pPr>
        <w:numPr>
          <w:ilvl w:val="0"/>
          <w:numId w:val="11"/>
        </w:numPr>
        <w:shd w:val="clear" w:color="auto" w:fill="FFFFFF" w:themeFill="background1"/>
        <w:spacing w:before="100" w:beforeAutospacing="1" w:after="100" w:afterAutospacing="1" w:line="240" w:lineRule="auto"/>
        <w:rPr>
          <w:rFonts w:eastAsia="Times New Roman"/>
          <w:lang w:eastAsia="en-GB"/>
        </w:rPr>
      </w:pPr>
      <w:r w:rsidRPr="5BE6DD8F">
        <w:rPr>
          <w:rFonts w:eastAsia="Times New Roman"/>
          <w:b/>
          <w:bCs/>
          <w:kern w:val="0"/>
          <w:lang w:eastAsia="en-GB"/>
          <w14:ligatures w14:val="none"/>
        </w:rPr>
        <w:t>17%</w:t>
      </w:r>
      <w:r w:rsidRPr="5BE6DD8F">
        <w:rPr>
          <w:rFonts w:eastAsia="Times New Roman"/>
          <w:kern w:val="0"/>
          <w:lang w:eastAsia="en-GB"/>
          <w14:ligatures w14:val="none"/>
        </w:rPr>
        <w:t xml:space="preserve"> of people </w:t>
      </w:r>
      <w:r w:rsidR="0034010D" w:rsidRPr="5BE6DD8F">
        <w:rPr>
          <w:rFonts w:eastAsia="Times New Roman"/>
          <w:kern w:val="0"/>
          <w:lang w:eastAsia="en-GB"/>
          <w14:ligatures w14:val="none"/>
        </w:rPr>
        <w:t xml:space="preserve">recognised </w:t>
      </w:r>
      <w:r w:rsidRPr="5BE6DD8F">
        <w:rPr>
          <w:rFonts w:eastAsia="Times New Roman"/>
          <w:kern w:val="0"/>
          <w:lang w:eastAsia="en-GB"/>
          <w14:ligatures w14:val="none"/>
        </w:rPr>
        <w:t xml:space="preserve">that </w:t>
      </w:r>
      <w:r w:rsidR="0034010D" w:rsidRPr="5BE6DD8F">
        <w:rPr>
          <w:rFonts w:eastAsia="Times New Roman"/>
          <w:kern w:val="0"/>
          <w:lang w:eastAsia="en-GB"/>
          <w14:ligatures w14:val="none"/>
        </w:rPr>
        <w:t>few offenders use physical violence</w:t>
      </w:r>
      <w:r w:rsidRPr="5BE6DD8F">
        <w:rPr>
          <w:rFonts w:eastAsia="Times New Roman"/>
          <w:kern w:val="0"/>
          <w:lang w:eastAsia="en-GB"/>
          <w14:ligatures w14:val="none"/>
        </w:rPr>
        <w:t xml:space="preserve">. </w:t>
      </w:r>
    </w:p>
    <w:p w14:paraId="475E05FC" w14:textId="62A9CE6E" w:rsidR="00B91F14" w:rsidRPr="00F378D0" w:rsidRDefault="0B301C57" w:rsidP="5BE6DD8F">
      <w:pPr>
        <w:shd w:val="clear" w:color="auto" w:fill="FFFFFF" w:themeFill="background1"/>
        <w:spacing w:before="100" w:beforeAutospacing="1" w:after="100" w:afterAutospacing="1" w:line="240" w:lineRule="auto"/>
      </w:pPr>
      <w:r w:rsidRPr="00F378D0">
        <w:t>In addition to this CPS research</w:t>
      </w:r>
      <w:r w:rsidR="2E4B3206" w:rsidRPr="00F378D0">
        <w:t xml:space="preserve">, the final </w:t>
      </w:r>
      <w:r w:rsidR="5EBA853D" w:rsidRPr="00F378D0">
        <w:t>report into improving CPS responses to rape complaints and compl</w:t>
      </w:r>
      <w:r w:rsidR="5763D913" w:rsidRPr="00F378D0">
        <w:t>ai</w:t>
      </w:r>
      <w:r w:rsidR="5EBA853D" w:rsidRPr="00F378D0">
        <w:t>n</w:t>
      </w:r>
      <w:r w:rsidR="5763D913" w:rsidRPr="00F378D0">
        <w:t>an</w:t>
      </w:r>
      <w:r w:rsidR="5EBA853D" w:rsidRPr="00F378D0">
        <w:t>ts</w:t>
      </w:r>
      <w:r w:rsidR="7C1C2173" w:rsidRPr="00F378D0">
        <w:t xml:space="preserve"> published in 2024</w:t>
      </w:r>
      <w:r w:rsidR="5EBA853D" w:rsidRPr="00F378D0">
        <w:t xml:space="preserve">, </w:t>
      </w:r>
      <w:r w:rsidR="69ADAC05" w:rsidRPr="00F378D0">
        <w:t xml:space="preserve">raised some concerns around the emergence </w:t>
      </w:r>
      <w:r w:rsidR="36654DD0" w:rsidRPr="00F378D0">
        <w:t>of new rape myths</w:t>
      </w:r>
      <w:r w:rsidR="1A7DAF30" w:rsidRPr="00F378D0">
        <w:t xml:space="preserve"> and the impact on</w:t>
      </w:r>
      <w:r w:rsidR="2219174E" w:rsidRPr="00F378D0">
        <w:t xml:space="preserve"> criminal justice outcomes</w:t>
      </w:r>
      <w:r w:rsidR="36654DD0" w:rsidRPr="00F378D0">
        <w:t>. This included</w:t>
      </w:r>
      <w:r w:rsidR="1A7DAF30" w:rsidRPr="00F378D0">
        <w:t xml:space="preserve"> </w:t>
      </w:r>
      <w:r w:rsidR="17D89CE4" w:rsidRPr="00F378D0">
        <w:t>myths and stereotypes around dating app usage</w:t>
      </w:r>
      <w:r w:rsidR="7EF3D67C" w:rsidRPr="00F378D0">
        <w:t xml:space="preserve"> and</w:t>
      </w:r>
      <w:r w:rsidR="17D89CE4" w:rsidRPr="00F378D0">
        <w:t xml:space="preserve"> </w:t>
      </w:r>
      <w:r w:rsidR="5597C97C" w:rsidRPr="00F378D0">
        <w:t>non-conventional sexual practices such as BDSM</w:t>
      </w:r>
      <w:r w:rsidR="7C1C2173" w:rsidRPr="00F378D0">
        <w:t>.</w:t>
      </w:r>
      <w:r w:rsidR="001E6E37" w:rsidRPr="00F378D0">
        <w:rPr>
          <w:rStyle w:val="FootnoteReference"/>
        </w:rPr>
        <w:footnoteReference w:id="24"/>
      </w:r>
    </w:p>
    <w:p w14:paraId="4B2C3EBD" w14:textId="65E697B8" w:rsidR="00B51CF8" w:rsidRDefault="00A2654A" w:rsidP="5BE6DD8F">
      <w:pPr>
        <w:shd w:val="clear" w:color="auto" w:fill="FFFFFF" w:themeFill="background1"/>
        <w:spacing w:before="100" w:beforeAutospacing="1" w:after="100" w:afterAutospacing="1" w:line="240" w:lineRule="auto"/>
        <w:rPr>
          <w:b/>
          <w:bCs/>
        </w:rPr>
      </w:pPr>
      <w:proofErr w:type="spellStart"/>
      <w:r w:rsidRPr="5BE6DD8F">
        <w:rPr>
          <w:b/>
          <w:bCs/>
        </w:rPr>
        <w:t>R</w:t>
      </w:r>
      <w:r w:rsidR="00844D83">
        <w:rPr>
          <w:b/>
          <w:bCs/>
        </w:rPr>
        <w:t>eccomendation</w:t>
      </w:r>
      <w:proofErr w:type="spellEnd"/>
      <w:r w:rsidRPr="5BE6DD8F">
        <w:rPr>
          <w:b/>
          <w:bCs/>
        </w:rPr>
        <w:t xml:space="preserve">: </w:t>
      </w:r>
      <w:r w:rsidR="00080208" w:rsidRPr="5BE6DD8F">
        <w:rPr>
          <w:b/>
          <w:bCs/>
        </w:rPr>
        <w:t xml:space="preserve">To </w:t>
      </w:r>
      <w:r w:rsidR="0099195B" w:rsidRPr="5BE6DD8F">
        <w:rPr>
          <w:b/>
          <w:bCs/>
        </w:rPr>
        <w:t xml:space="preserve">take a multi-partner approach to </w:t>
      </w:r>
      <w:r w:rsidR="00080208" w:rsidRPr="5BE6DD8F">
        <w:rPr>
          <w:b/>
          <w:bCs/>
        </w:rPr>
        <w:t>consider</w:t>
      </w:r>
      <w:r w:rsidRPr="5BE6DD8F">
        <w:rPr>
          <w:b/>
          <w:bCs/>
        </w:rPr>
        <w:t xml:space="preserve"> how these </w:t>
      </w:r>
      <w:r w:rsidR="004E6F58" w:rsidRPr="5BE6DD8F">
        <w:rPr>
          <w:b/>
          <w:bCs/>
        </w:rPr>
        <w:t>persisting</w:t>
      </w:r>
      <w:r w:rsidR="00D736BC" w:rsidRPr="5BE6DD8F">
        <w:rPr>
          <w:b/>
          <w:bCs/>
        </w:rPr>
        <w:t xml:space="preserve"> and emerging</w:t>
      </w:r>
      <w:r w:rsidR="004E6F58" w:rsidRPr="5BE6DD8F">
        <w:rPr>
          <w:b/>
          <w:bCs/>
        </w:rPr>
        <w:t xml:space="preserve"> rape myths </w:t>
      </w:r>
      <w:r w:rsidRPr="5BE6DD8F">
        <w:rPr>
          <w:b/>
          <w:bCs/>
        </w:rPr>
        <w:t xml:space="preserve">can be </w:t>
      </w:r>
      <w:r w:rsidR="00080208" w:rsidRPr="5BE6DD8F">
        <w:rPr>
          <w:b/>
          <w:bCs/>
        </w:rPr>
        <w:t>debunked</w:t>
      </w:r>
      <w:r w:rsidRPr="5BE6DD8F">
        <w:rPr>
          <w:b/>
          <w:bCs/>
        </w:rPr>
        <w:t xml:space="preserve"> via </w:t>
      </w:r>
      <w:r w:rsidR="00A702BC" w:rsidRPr="5BE6DD8F">
        <w:rPr>
          <w:b/>
          <w:bCs/>
        </w:rPr>
        <w:t xml:space="preserve">the councils White </w:t>
      </w:r>
      <w:r w:rsidRPr="5BE6DD8F">
        <w:rPr>
          <w:b/>
          <w:bCs/>
        </w:rPr>
        <w:t>R</w:t>
      </w:r>
      <w:r w:rsidR="00A702BC" w:rsidRPr="5BE6DD8F">
        <w:rPr>
          <w:b/>
          <w:bCs/>
        </w:rPr>
        <w:t xml:space="preserve">ibbon </w:t>
      </w:r>
      <w:r w:rsidR="00237D8D" w:rsidRPr="5BE6DD8F">
        <w:rPr>
          <w:b/>
          <w:bCs/>
        </w:rPr>
        <w:t xml:space="preserve">action plan, </w:t>
      </w:r>
      <w:r w:rsidRPr="5BE6DD8F">
        <w:rPr>
          <w:b/>
          <w:bCs/>
        </w:rPr>
        <w:t>education in schools</w:t>
      </w:r>
      <w:r w:rsidR="00421C93" w:rsidRPr="5BE6DD8F">
        <w:rPr>
          <w:b/>
          <w:bCs/>
        </w:rPr>
        <w:t xml:space="preserve"> and </w:t>
      </w:r>
      <w:r w:rsidR="009D3F54" w:rsidRPr="5BE6DD8F">
        <w:rPr>
          <w:b/>
          <w:bCs/>
        </w:rPr>
        <w:t xml:space="preserve">wider </w:t>
      </w:r>
      <w:r w:rsidR="00421C93" w:rsidRPr="5BE6DD8F">
        <w:rPr>
          <w:b/>
          <w:bCs/>
        </w:rPr>
        <w:t>organisations</w:t>
      </w:r>
      <w:r w:rsidR="00D4274F" w:rsidRPr="5BE6DD8F">
        <w:rPr>
          <w:b/>
          <w:bCs/>
        </w:rPr>
        <w:t xml:space="preserve"> including the criminal justice system.</w:t>
      </w:r>
    </w:p>
    <w:p w14:paraId="3B6F63C3" w14:textId="7F6160A0" w:rsidR="009A3890" w:rsidRDefault="009A3890" w:rsidP="009A3890">
      <w:pPr>
        <w:pStyle w:val="Style2"/>
      </w:pPr>
      <w:r>
        <w:t>What do we know about perpetrators of sexual violence?</w:t>
      </w:r>
    </w:p>
    <w:p w14:paraId="41DB39CC" w14:textId="62887DA3" w:rsidR="00B73FE4" w:rsidRDefault="0052228C" w:rsidP="0052228C">
      <w:r>
        <w:t>Data from the CSEW</w:t>
      </w:r>
      <w:r w:rsidR="00BF73DC">
        <w:rPr>
          <w:rStyle w:val="FootnoteReference"/>
        </w:rPr>
        <w:footnoteReference w:id="25"/>
      </w:r>
      <w:r>
        <w:t xml:space="preserve"> </w:t>
      </w:r>
      <w:r w:rsidR="00377B1F">
        <w:t xml:space="preserve">indicates that 98% of perpetrators of </w:t>
      </w:r>
      <w:r w:rsidR="00F617F3">
        <w:t xml:space="preserve">rape or sexual assault by penetration </w:t>
      </w:r>
      <w:r w:rsidR="00377B1F">
        <w:t xml:space="preserve">are male, and </w:t>
      </w:r>
      <w:r w:rsidR="00377B1F" w:rsidRPr="00377B1F">
        <w:t>65% reported that the perpetrator was a male aged between 20 and 39 years</w:t>
      </w:r>
      <w:r w:rsidR="00F617F3">
        <w:t xml:space="preserve">. </w:t>
      </w:r>
      <w:r w:rsidR="004A2F4E">
        <w:t>The perpetrators were</w:t>
      </w:r>
      <w:r w:rsidR="00B73FE4">
        <w:t>:</w:t>
      </w:r>
    </w:p>
    <w:p w14:paraId="2307F3D7" w14:textId="53EE6410" w:rsidR="00B73FE4" w:rsidRDefault="004A2F4E" w:rsidP="00B73FE4">
      <w:pPr>
        <w:pStyle w:val="ListParagraph"/>
        <w:numPr>
          <w:ilvl w:val="0"/>
          <w:numId w:val="36"/>
        </w:numPr>
      </w:pPr>
      <w:r>
        <w:t>partners of ex-partners (44%</w:t>
      </w:r>
      <w:r w:rsidR="00F07D3C">
        <w:t xml:space="preserve"> for women vs 25% for men</w:t>
      </w:r>
      <w:r>
        <w:t>)</w:t>
      </w:r>
      <w:r w:rsidR="00381DC3">
        <w:t xml:space="preserve"> </w:t>
      </w:r>
    </w:p>
    <w:p w14:paraId="25AD2027" w14:textId="250CBD5A" w:rsidR="00DD5151" w:rsidRDefault="00381DC3" w:rsidP="00B73FE4">
      <w:pPr>
        <w:pStyle w:val="ListParagraph"/>
        <w:numPr>
          <w:ilvl w:val="0"/>
          <w:numId w:val="36"/>
        </w:numPr>
      </w:pPr>
      <w:r>
        <w:t>someone known to the</w:t>
      </w:r>
      <w:r w:rsidR="00B73FE4">
        <w:t xml:space="preserve"> victim who is not a partner/ex-partner or family member</w:t>
      </w:r>
      <w:r>
        <w:t xml:space="preserve"> (37%</w:t>
      </w:r>
      <w:r w:rsidR="00F07D3C">
        <w:t xml:space="preserve"> </w:t>
      </w:r>
      <w:r w:rsidR="009C7705">
        <w:t xml:space="preserve">for </w:t>
      </w:r>
      <w:r w:rsidR="00F07D3C">
        <w:t xml:space="preserve">women vs </w:t>
      </w:r>
      <w:r w:rsidR="009C7705">
        <w:t>32% for men</w:t>
      </w:r>
      <w:r>
        <w:t>)</w:t>
      </w:r>
    </w:p>
    <w:p w14:paraId="5570A7F8" w14:textId="1DD2B1F7" w:rsidR="00B73FE4" w:rsidRDefault="00B73FE4" w:rsidP="00B73FE4">
      <w:pPr>
        <w:pStyle w:val="ListParagraph"/>
        <w:numPr>
          <w:ilvl w:val="1"/>
          <w:numId w:val="36"/>
        </w:numPr>
      </w:pPr>
      <w:r>
        <w:t>friend (12%)</w:t>
      </w:r>
    </w:p>
    <w:p w14:paraId="249990E9" w14:textId="44564F70" w:rsidR="00B73FE4" w:rsidRDefault="00B73FE4" w:rsidP="00B73FE4">
      <w:pPr>
        <w:pStyle w:val="ListParagraph"/>
        <w:numPr>
          <w:ilvl w:val="1"/>
          <w:numId w:val="36"/>
        </w:numPr>
      </w:pPr>
      <w:r>
        <w:t>date (10%)</w:t>
      </w:r>
    </w:p>
    <w:p w14:paraId="44B2F90A" w14:textId="47CC7CF3" w:rsidR="00123F1F" w:rsidRDefault="00B73FE4" w:rsidP="009A3890">
      <w:pPr>
        <w:pStyle w:val="ListParagraph"/>
        <w:numPr>
          <w:ilvl w:val="0"/>
          <w:numId w:val="36"/>
        </w:numPr>
      </w:pPr>
      <w:r>
        <w:t xml:space="preserve">a stranger (15% </w:t>
      </w:r>
      <w:r w:rsidR="009C7705">
        <w:t>for women</w:t>
      </w:r>
      <w:r>
        <w:t xml:space="preserve"> vs </w:t>
      </w:r>
      <w:r w:rsidR="00BF73DC">
        <w:t xml:space="preserve">43% </w:t>
      </w:r>
      <w:r w:rsidR="009C7705">
        <w:t xml:space="preserve">for </w:t>
      </w:r>
      <w:r w:rsidR="00BF73DC">
        <w:t>m</w:t>
      </w:r>
      <w:r w:rsidR="009C7705">
        <w:t>en</w:t>
      </w:r>
      <w:r w:rsidR="00BF73DC">
        <w:t>)</w:t>
      </w:r>
    </w:p>
    <w:p w14:paraId="6A498E7D" w14:textId="6DE29E31" w:rsidR="00CF4CC4" w:rsidRDefault="00BC3C97" w:rsidP="00123F1F">
      <w:r>
        <w:t xml:space="preserve">In 2023, South Yorkshire Police </w:t>
      </w:r>
      <w:r w:rsidR="00226ACB">
        <w:t xml:space="preserve">rolled out Operation Sentinel to disrupt </w:t>
      </w:r>
      <w:r w:rsidR="001A1D33">
        <w:t xml:space="preserve">predatory behaviour in the </w:t>
      </w:r>
      <w:r w:rsidR="009F48BA">
        <w:t>nighttime</w:t>
      </w:r>
      <w:r w:rsidR="001A1D33">
        <w:t xml:space="preserve"> economy, by identifying and supporting members of the public who may be vulnerable to offending and target would be offenders. No </w:t>
      </w:r>
      <w:r w:rsidR="009F48BA">
        <w:t xml:space="preserve">data on the success of this work was provided for this report. </w:t>
      </w:r>
    </w:p>
    <w:p w14:paraId="7C5BDD1C" w14:textId="77777777" w:rsidR="0067208E" w:rsidRDefault="0067208E" w:rsidP="5BE6DD8F">
      <w:pPr>
        <w:rPr>
          <w:rFonts w:asciiTheme="majorHAnsi" w:eastAsiaTheme="majorEastAsia" w:hAnsiTheme="majorHAnsi" w:cstheme="majorBidi"/>
          <w:color w:val="2F5496" w:themeColor="accent1" w:themeShade="BF"/>
          <w:sz w:val="44"/>
          <w:szCs w:val="44"/>
        </w:rPr>
      </w:pPr>
      <w:r w:rsidRPr="5BE6DD8F">
        <w:rPr>
          <w:sz w:val="44"/>
          <w:szCs w:val="44"/>
        </w:rPr>
        <w:br w:type="page"/>
      </w:r>
    </w:p>
    <w:p w14:paraId="6A90F2E1" w14:textId="17601E60" w:rsidR="00B51CF8" w:rsidRDefault="00B51CF8" w:rsidP="00F539E3">
      <w:pPr>
        <w:pStyle w:val="Style2"/>
      </w:pPr>
      <w:r>
        <w:t>The criminal justice system</w:t>
      </w:r>
      <w:r w:rsidR="00F539E3">
        <w:t>:</w:t>
      </w:r>
    </w:p>
    <w:p w14:paraId="37BA3862" w14:textId="0038B755" w:rsidR="008D0D92" w:rsidRDefault="008D0D92" w:rsidP="008D0D92">
      <w:r>
        <w:t xml:space="preserve">The schematic below provides a brief overview of the complexity of the criminal justice system </w:t>
      </w:r>
      <w:r w:rsidR="000F6F6D">
        <w:t>regarding</w:t>
      </w:r>
      <w:r>
        <w:t xml:space="preserve"> sexual offences. </w:t>
      </w:r>
    </w:p>
    <w:p w14:paraId="0F4A5A7E" w14:textId="327E52F0" w:rsidR="008D0D92" w:rsidRPr="008D0D92" w:rsidRDefault="008D0D92" w:rsidP="008D0D92">
      <w:r>
        <w:rPr>
          <w:noProof/>
        </w:rPr>
        <w:drawing>
          <wp:inline distT="0" distB="0" distL="0" distR="0" wp14:anchorId="33409FC0" wp14:editId="041DA585">
            <wp:extent cx="5731510" cy="6736078"/>
            <wp:effectExtent l="0" t="0" r="0" b="0"/>
            <wp:docPr id="954108715" name="Picture 4" descr="A diagram showing the criminal justice process from the offence occ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08715" name="Picture 4" descr="A diagram showing the criminal justice process from the offence occuring."/>
                    <pic:cNvPicPr/>
                  </pic:nvPicPr>
                  <pic:blipFill>
                    <a:blip r:embed="rId15">
                      <a:extLst>
                        <a:ext uri="{28A0092B-C50C-407E-A947-70E740481C1C}">
                          <a14:useLocalDpi xmlns:a14="http://schemas.microsoft.com/office/drawing/2010/main" val="0"/>
                        </a:ext>
                      </a:extLst>
                    </a:blip>
                    <a:stretch>
                      <a:fillRect/>
                    </a:stretch>
                  </pic:blipFill>
                  <pic:spPr>
                    <a:xfrm>
                      <a:off x="0" y="0"/>
                      <a:ext cx="5731510" cy="6736078"/>
                    </a:xfrm>
                    <a:prstGeom prst="rect">
                      <a:avLst/>
                    </a:prstGeom>
                  </pic:spPr>
                </pic:pic>
              </a:graphicData>
            </a:graphic>
          </wp:inline>
        </w:drawing>
      </w:r>
    </w:p>
    <w:p w14:paraId="74729A13" w14:textId="77777777" w:rsidR="00AF7C03" w:rsidRPr="00AF7C03" w:rsidRDefault="00AF7C03" w:rsidP="00AF7C03"/>
    <w:p w14:paraId="48349AB5" w14:textId="77777777" w:rsidR="0067208E" w:rsidRDefault="0067208E" w:rsidP="00B50B3A">
      <w:pPr>
        <w:pStyle w:val="Heading3"/>
      </w:pPr>
    </w:p>
    <w:p w14:paraId="222258F3" w14:textId="77777777" w:rsidR="0067208E" w:rsidRPr="0067208E" w:rsidRDefault="0067208E" w:rsidP="0067208E"/>
    <w:p w14:paraId="3EF644BC" w14:textId="4A9A41DD" w:rsidR="00B51CF8" w:rsidRDefault="00844D83" w:rsidP="00844D83">
      <w:pPr>
        <w:pStyle w:val="Style2"/>
      </w:pPr>
      <w:r>
        <w:br/>
      </w:r>
      <w:r w:rsidR="00B51CF8">
        <w:t>2021 End to End Rape Review:</w:t>
      </w:r>
    </w:p>
    <w:p w14:paraId="08B7C381" w14:textId="77777777" w:rsidR="00B51CF8" w:rsidRPr="003E7AB4" w:rsidRDefault="00B51CF8" w:rsidP="00B51CF8"/>
    <w:p w14:paraId="0CD3F239" w14:textId="77777777" w:rsidR="00B51CF8" w:rsidRDefault="00B51CF8" w:rsidP="00B51CF8">
      <w:r>
        <w:t xml:space="preserve">In 2021 the Government outlined its ambitions in relation to the prosecution of rape and serious sexual offences in the Criminal Justice System in the Rape Review. This outlined an action plan to improve the experience of victims and increase prosecutions which had experienced a decline since 2016. </w:t>
      </w:r>
    </w:p>
    <w:p w14:paraId="3A003DB0" w14:textId="77777777" w:rsidR="00B51CF8" w:rsidRDefault="00B51CF8" w:rsidP="00B51CF8">
      <w:r>
        <w:t>As part of this the government created a criminal justice system dashboard to monitor progress of rape cases through the CJS to monitor progress of the ambition of returning the volumes of cases being referred by the police to the Crown Prosecution Service (CPS); charged by the CPS; and going to court, to at least 2016 levels. National and South Yorkshire data from the dashboard is shown below.</w:t>
      </w:r>
    </w:p>
    <w:p w14:paraId="364B5FA1" w14:textId="77777777" w:rsidR="00B51CF8" w:rsidRDefault="00B51CF8" w:rsidP="00B51CF8">
      <w:pPr>
        <w:pStyle w:val="Heading3"/>
      </w:pPr>
      <w:r>
        <w:t xml:space="preserve">National data in the year January- December 2023 for cases of adult rape (annual rolling). </w:t>
      </w:r>
    </w:p>
    <w:p w14:paraId="04A08367" w14:textId="77777777" w:rsidR="00B51CF8" w:rsidRDefault="00B51CF8" w:rsidP="00B51CF8">
      <w:r>
        <w:rPr>
          <w:noProof/>
        </w:rPr>
        <w:drawing>
          <wp:anchor distT="0" distB="0" distL="114300" distR="114300" simplePos="0" relativeHeight="251658240" behindDoc="0" locked="0" layoutInCell="1" allowOverlap="1" wp14:anchorId="7AC23B12" wp14:editId="7E576952">
            <wp:simplePos x="0" y="0"/>
            <wp:positionH relativeFrom="column">
              <wp:posOffset>38100</wp:posOffset>
            </wp:positionH>
            <wp:positionV relativeFrom="paragraph">
              <wp:posOffset>34939</wp:posOffset>
            </wp:positionV>
            <wp:extent cx="4741029" cy="2515863"/>
            <wp:effectExtent l="38100" t="0" r="40640" b="0"/>
            <wp:wrapSquare wrapText="bothSides"/>
            <wp:docPr id="335761310" name="Diagram 3" descr="A flow diagram showing the process of cases through the criminal justice system for adult rape in 20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14:paraId="472B913D" w14:textId="2A7FBC2F" w:rsidR="00B51CF8" w:rsidRDefault="00B51CF8" w:rsidP="2AEF0F6D"/>
    <w:p w14:paraId="0AEBD140" w14:textId="77777777" w:rsidR="006F4747" w:rsidRDefault="00B51CF8" w:rsidP="00B51CF8">
      <w:pPr>
        <w:pStyle w:val="Heading3"/>
      </w:pPr>
      <w:r>
        <w:t xml:space="preserve">Data For </w:t>
      </w:r>
    </w:p>
    <w:p w14:paraId="5D4CE542" w14:textId="77777777" w:rsidR="006F4747" w:rsidRDefault="006F4747" w:rsidP="00B51CF8">
      <w:pPr>
        <w:pStyle w:val="Heading3"/>
      </w:pPr>
    </w:p>
    <w:p w14:paraId="35018D2F" w14:textId="77777777" w:rsidR="006F4747" w:rsidRDefault="006F4747" w:rsidP="00B51CF8">
      <w:pPr>
        <w:pStyle w:val="Heading3"/>
      </w:pPr>
    </w:p>
    <w:p w14:paraId="59B54126" w14:textId="77777777" w:rsidR="006F4747" w:rsidRDefault="006F4747" w:rsidP="00B51CF8">
      <w:pPr>
        <w:pStyle w:val="Heading3"/>
      </w:pPr>
    </w:p>
    <w:p w14:paraId="6FC89F82" w14:textId="77777777" w:rsidR="006F4747" w:rsidRDefault="006F4747" w:rsidP="00B51CF8">
      <w:pPr>
        <w:pStyle w:val="Heading3"/>
      </w:pPr>
    </w:p>
    <w:p w14:paraId="4A561C3E" w14:textId="77777777" w:rsidR="006F4747" w:rsidRDefault="006F4747" w:rsidP="00B51CF8">
      <w:pPr>
        <w:pStyle w:val="Heading3"/>
      </w:pPr>
    </w:p>
    <w:p w14:paraId="11470021" w14:textId="77777777" w:rsidR="006F4747" w:rsidRDefault="006F4747" w:rsidP="00B51CF8">
      <w:pPr>
        <w:pStyle w:val="Heading3"/>
      </w:pPr>
    </w:p>
    <w:p w14:paraId="0E2E7097" w14:textId="77777777" w:rsidR="006F4747" w:rsidRDefault="006F4747" w:rsidP="00B51CF8">
      <w:pPr>
        <w:pStyle w:val="Heading3"/>
      </w:pPr>
    </w:p>
    <w:p w14:paraId="327B6C4F" w14:textId="77777777" w:rsidR="006F4747" w:rsidRDefault="006F4747" w:rsidP="00B51CF8">
      <w:pPr>
        <w:pStyle w:val="Heading3"/>
      </w:pPr>
    </w:p>
    <w:p w14:paraId="6D6FB70F" w14:textId="43F6D9CE" w:rsidR="00B51CF8" w:rsidRDefault="00B51CF8" w:rsidP="00B51CF8">
      <w:pPr>
        <w:pStyle w:val="Heading3"/>
      </w:pPr>
      <w:r>
        <w:t xml:space="preserve">South Yorkshire in the year January- December 2023 for cases of adult rape (annual rolling). </w:t>
      </w:r>
    </w:p>
    <w:p w14:paraId="5FBCA5DE" w14:textId="77777777" w:rsidR="00B51CF8" w:rsidRDefault="00B51CF8" w:rsidP="00B51CF8">
      <w:r>
        <w:rPr>
          <w:noProof/>
        </w:rPr>
        <w:drawing>
          <wp:inline distT="0" distB="0" distL="0" distR="0" wp14:anchorId="12BF9788" wp14:editId="7A32A807">
            <wp:extent cx="4741029" cy="2515863"/>
            <wp:effectExtent l="38100" t="0" r="40640" b="0"/>
            <wp:docPr id="1372195977" name="Diagram 3" descr="A diagram showing movement through the criminal justice process for cases of adult rape in South Yorkshire in 20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CF3F52F" w14:textId="77777777" w:rsidR="00B51CF8" w:rsidRPr="009E4805" w:rsidRDefault="00B51CF8" w:rsidP="00B51CF8">
      <w:r>
        <w:rPr>
          <w:noProof/>
        </w:rPr>
        <w:drawing>
          <wp:inline distT="0" distB="0" distL="0" distR="0" wp14:anchorId="7B226534" wp14:editId="0F887564">
            <wp:extent cx="5813571" cy="3489820"/>
            <wp:effectExtent l="0" t="0" r="15875" b="15875"/>
            <wp:docPr id="611825644" name="Chart 1" descr="A graph showing a comparision of victim engagement nationally vs. South Yorkshire. ">
              <a:extLst xmlns:a="http://schemas.openxmlformats.org/drawingml/2006/main">
                <a:ext uri="{FF2B5EF4-FFF2-40B4-BE49-F238E27FC236}">
                  <a16:creationId xmlns:a16="http://schemas.microsoft.com/office/drawing/2014/main" id="{AC1C5D5C-EF8B-26F4-15D9-A0F89120B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F5EB9A" w14:textId="38852904" w:rsidR="2AEF0F6D" w:rsidRDefault="2AEF0F6D"/>
    <w:p w14:paraId="27F6C736" w14:textId="3752ECC3" w:rsidR="00832E43" w:rsidRDefault="00FC7CFE" w:rsidP="00832E43">
      <w:r>
        <w:t xml:space="preserve">South Yorkshire performs </w:t>
      </w:r>
      <w:r w:rsidR="00F311FC">
        <w:t>better than the national average in two out of three measures. However, victim and witness engagement on the day of the trial</w:t>
      </w:r>
      <w:r w:rsidR="00777FC7">
        <w:t xml:space="preserve"> is </w:t>
      </w:r>
      <w:r w:rsidR="0051715C">
        <w:t>lower than the national average.</w:t>
      </w:r>
    </w:p>
    <w:p w14:paraId="1B6A22CA" w14:textId="57E862AE" w:rsidR="00B51CF8" w:rsidRDefault="00B51CF8" w:rsidP="00832E43">
      <w:r>
        <w:rPr>
          <w:noProof/>
        </w:rPr>
        <w:drawing>
          <wp:anchor distT="0" distB="0" distL="114300" distR="114300" simplePos="0" relativeHeight="251658241" behindDoc="0" locked="0" layoutInCell="1" allowOverlap="1" wp14:anchorId="76F90387" wp14:editId="1ED81ECD">
            <wp:simplePos x="0" y="0"/>
            <wp:positionH relativeFrom="column">
              <wp:posOffset>-520204</wp:posOffset>
            </wp:positionH>
            <wp:positionV relativeFrom="paragraph">
              <wp:posOffset>-562435</wp:posOffset>
            </wp:positionV>
            <wp:extent cx="6911340" cy="4596130"/>
            <wp:effectExtent l="0" t="0" r="3810" b="13970"/>
            <wp:wrapSquare wrapText="bothSides"/>
            <wp:docPr id="1605478863" name="Chart 1" descr="A graph showing the quality of justice nationally vs South Yorkshire.">
              <a:extLst xmlns:a="http://schemas.openxmlformats.org/drawingml/2006/main">
                <a:ext uri="{FF2B5EF4-FFF2-40B4-BE49-F238E27FC236}">
                  <a16:creationId xmlns:a16="http://schemas.microsoft.com/office/drawing/2014/main" id="{C630490D-7708-7187-6C85-D421F4FB9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32E43">
        <w:t xml:space="preserve"> </w:t>
      </w:r>
    </w:p>
    <w:p w14:paraId="26066FDA" w14:textId="52257D49" w:rsidR="00832E43" w:rsidRPr="003E2E90" w:rsidRDefault="00832E43" w:rsidP="003E2E90">
      <w:r>
        <w:t xml:space="preserve">South Yorkshire Police performs at a level </w:t>
      </w:r>
      <w:r w:rsidR="001428B4">
        <w:t xml:space="preserve">comparable to </w:t>
      </w:r>
      <w:r>
        <w:t xml:space="preserve">the national average in most areas. It performs </w:t>
      </w:r>
      <w:r w:rsidR="00C31B35">
        <w:t xml:space="preserve">better in terms of cases resulted in a completed trial or guilty </w:t>
      </w:r>
      <w:r w:rsidR="00DB3EB4">
        <w:t>plea but</w:t>
      </w:r>
      <w:r w:rsidR="0051715C">
        <w:t xml:space="preserve"> has a higher </w:t>
      </w:r>
      <w:r w:rsidR="00A52A75">
        <w:t>number</w:t>
      </w:r>
      <w:r w:rsidR="0051715C">
        <w:t xml:space="preserve"> of </w:t>
      </w:r>
      <w:r w:rsidR="009C4B64">
        <w:t xml:space="preserve">trials rearranged on the day of the trial. </w:t>
      </w:r>
    </w:p>
    <w:p w14:paraId="51C56CA2" w14:textId="1F95DC6D" w:rsidR="00B51CF8" w:rsidRPr="003E2E90" w:rsidRDefault="004B450B" w:rsidP="003E2E90">
      <w:pPr>
        <w:rPr>
          <w:b/>
          <w:bCs/>
        </w:rPr>
      </w:pPr>
      <w:r w:rsidRPr="003E2E90">
        <w:rPr>
          <w:b/>
          <w:bCs/>
        </w:rPr>
        <w:t xml:space="preserve">Recommendation: </w:t>
      </w:r>
      <w:r w:rsidR="00DB3EB4" w:rsidRPr="003E2E90">
        <w:rPr>
          <w:b/>
          <w:bCs/>
        </w:rPr>
        <w:t xml:space="preserve">To work with partners to better understand </w:t>
      </w:r>
      <w:r w:rsidR="00A52A75" w:rsidRPr="003E2E90">
        <w:rPr>
          <w:b/>
          <w:bCs/>
        </w:rPr>
        <w:t>and</w:t>
      </w:r>
      <w:r w:rsidR="00DB3EB4" w:rsidRPr="003E2E90">
        <w:rPr>
          <w:b/>
          <w:bCs/>
        </w:rPr>
        <w:t xml:space="preserve"> </w:t>
      </w:r>
      <w:r w:rsidR="00A52A75" w:rsidRPr="003E2E90">
        <w:rPr>
          <w:b/>
          <w:bCs/>
        </w:rPr>
        <w:t xml:space="preserve">evidence the scale and </w:t>
      </w:r>
      <w:r w:rsidR="00DB3EB4" w:rsidRPr="003E2E90">
        <w:rPr>
          <w:b/>
          <w:bCs/>
        </w:rPr>
        <w:t xml:space="preserve">impact of </w:t>
      </w:r>
      <w:r w:rsidR="00494136" w:rsidRPr="003E2E90">
        <w:rPr>
          <w:b/>
          <w:bCs/>
        </w:rPr>
        <w:t xml:space="preserve">short notice trial rearrangement and support for victims of RASSO offences and other offences in scope of this strategy. </w:t>
      </w:r>
    </w:p>
    <w:p w14:paraId="1DE5671C" w14:textId="004075C5" w:rsidR="00B51CF8" w:rsidRPr="003E2E90" w:rsidRDefault="00B51CF8" w:rsidP="003E2E90">
      <w:r w:rsidRPr="003E2E90">
        <w:t xml:space="preserve"> </w:t>
      </w:r>
    </w:p>
    <w:p w14:paraId="04B15200" w14:textId="77777777" w:rsidR="00B51CF8" w:rsidRPr="003E2E90" w:rsidRDefault="00B51CF8" w:rsidP="5BE6DD8F"/>
    <w:p w14:paraId="21A37FA7" w14:textId="77777777" w:rsidR="00B51CF8" w:rsidRDefault="00B51CF8" w:rsidP="5BE6DD8F">
      <w:pPr>
        <w:rPr>
          <w:color w:val="FFFF00"/>
          <w:highlight w:val="yellow"/>
        </w:rPr>
      </w:pPr>
    </w:p>
    <w:p w14:paraId="1864DF3F" w14:textId="77777777" w:rsidR="00B51CF8" w:rsidRDefault="00B51CF8" w:rsidP="00B51CF8"/>
    <w:p w14:paraId="70D5227D" w14:textId="77777777" w:rsidR="00B51CF8" w:rsidRDefault="00B51CF8" w:rsidP="00B51CF8"/>
    <w:p w14:paraId="23A9704E" w14:textId="3B9914DD" w:rsidR="00B51CF8" w:rsidRDefault="00B51CF8" w:rsidP="00B51CF8">
      <w:pPr>
        <w:tabs>
          <w:tab w:val="left" w:pos="1340"/>
        </w:tabs>
      </w:pPr>
    </w:p>
    <w:p w14:paraId="3DB36046" w14:textId="2777B050" w:rsidR="00FA580F" w:rsidRDefault="00FA580F">
      <w:r>
        <w:br/>
      </w:r>
      <w:r>
        <w:br/>
      </w:r>
      <w:r>
        <w:br/>
      </w:r>
      <w:r>
        <w:br/>
      </w:r>
    </w:p>
    <w:p w14:paraId="4BCE70D3" w14:textId="77777777" w:rsidR="00FA580F" w:rsidRDefault="00FA580F" w:rsidP="00844D83">
      <w:pPr>
        <w:pStyle w:val="Style2"/>
      </w:pPr>
      <w:r>
        <w:t>Operation Soteria Bluestone:</w:t>
      </w:r>
    </w:p>
    <w:p w14:paraId="70FC34EB" w14:textId="77777777" w:rsidR="0066616F" w:rsidRPr="0066616F" w:rsidRDefault="0066616F" w:rsidP="0066616F"/>
    <w:p w14:paraId="4103EB6A" w14:textId="77777777" w:rsidR="00D13C91" w:rsidRPr="000D0848" w:rsidRDefault="008E47DC">
      <w:r w:rsidRPr="000D0848">
        <w:t xml:space="preserve">Since the </w:t>
      </w:r>
      <w:r w:rsidR="0066616F" w:rsidRPr="000D0848">
        <w:t>2021 Rape Review there has been extensive work to develop a framework for a new operating model (NOM) that can be rolled out for how the police and CPS deal with rape cases</w:t>
      </w:r>
      <w:r w:rsidR="006934E2" w:rsidRPr="000D0848">
        <w:t xml:space="preserve"> as part of a programme of work </w:t>
      </w:r>
      <w:r w:rsidR="00D13C91" w:rsidRPr="000D0848">
        <w:t>called Operation Soteria Bluestone.</w:t>
      </w:r>
    </w:p>
    <w:p w14:paraId="12411B3C" w14:textId="6AE40152" w:rsidR="00292372" w:rsidRPr="000D0848" w:rsidRDefault="00D13C91" w:rsidP="00292372">
      <w:r w:rsidRPr="000D0848">
        <w:t>The NOM</w:t>
      </w:r>
      <w:r w:rsidR="00292372" w:rsidRPr="000D0848">
        <w:t xml:space="preserve"> was based on the six pillars of Soteria. These are:</w:t>
      </w:r>
    </w:p>
    <w:p w14:paraId="66BE7A93" w14:textId="77777777" w:rsidR="00292372" w:rsidRPr="00292372" w:rsidRDefault="00292372" w:rsidP="00292372">
      <w:pPr>
        <w:numPr>
          <w:ilvl w:val="0"/>
          <w:numId w:val="37"/>
        </w:numPr>
      </w:pPr>
      <w:r w:rsidRPr="00292372">
        <w:t xml:space="preserve">having a suspect-focused </w:t>
      </w:r>
      <w:proofErr w:type="gramStart"/>
      <w:r w:rsidRPr="00292372">
        <w:t>investigation;</w:t>
      </w:r>
      <w:proofErr w:type="gramEnd"/>
    </w:p>
    <w:p w14:paraId="347158EE" w14:textId="77777777" w:rsidR="00292372" w:rsidRPr="00292372" w:rsidRDefault="00292372" w:rsidP="00292372">
      <w:pPr>
        <w:numPr>
          <w:ilvl w:val="0"/>
          <w:numId w:val="37"/>
        </w:numPr>
      </w:pPr>
      <w:r w:rsidRPr="00292372">
        <w:t xml:space="preserve">targeting and disrupting repeat </w:t>
      </w:r>
      <w:proofErr w:type="gramStart"/>
      <w:r w:rsidRPr="00292372">
        <w:t>suspects;</w:t>
      </w:r>
      <w:proofErr w:type="gramEnd"/>
    </w:p>
    <w:p w14:paraId="7B6D8224" w14:textId="77777777" w:rsidR="00292372" w:rsidRPr="00292372" w:rsidRDefault="00292372" w:rsidP="00292372">
      <w:pPr>
        <w:numPr>
          <w:ilvl w:val="0"/>
          <w:numId w:val="37"/>
        </w:numPr>
      </w:pPr>
      <w:r w:rsidRPr="00292372">
        <w:t>supporting </w:t>
      </w:r>
      <w:hyperlink r:id="rId28" w:history="1">
        <w:r w:rsidRPr="00292372">
          <w:rPr>
            <w:rStyle w:val="Hyperlink"/>
          </w:rPr>
          <w:t>victims</w:t>
        </w:r>
      </w:hyperlink>
      <w:r w:rsidRPr="00292372">
        <w:t> by using a </w:t>
      </w:r>
      <w:hyperlink r:id="rId29" w:history="1">
        <w:r w:rsidRPr="00292372">
          <w:rPr>
            <w:rStyle w:val="Hyperlink"/>
          </w:rPr>
          <w:t>procedural justice</w:t>
        </w:r>
      </w:hyperlink>
      <w:r w:rsidRPr="00292372">
        <w:t> approach;</w:t>
      </w:r>
    </w:p>
    <w:p w14:paraId="33269D8F" w14:textId="77777777" w:rsidR="00292372" w:rsidRPr="00292372" w:rsidRDefault="00292372" w:rsidP="00292372">
      <w:pPr>
        <w:numPr>
          <w:ilvl w:val="0"/>
          <w:numId w:val="37"/>
        </w:numPr>
      </w:pPr>
      <w:r w:rsidRPr="00292372">
        <w:t xml:space="preserve">improving investigators’ knowledge, learning and </w:t>
      </w:r>
      <w:proofErr w:type="gramStart"/>
      <w:r w:rsidRPr="00292372">
        <w:t>well-being;</w:t>
      </w:r>
      <w:proofErr w:type="gramEnd"/>
    </w:p>
    <w:p w14:paraId="6B7741CD" w14:textId="77777777" w:rsidR="00292372" w:rsidRPr="00292372" w:rsidRDefault="00292372" w:rsidP="00292372">
      <w:pPr>
        <w:numPr>
          <w:ilvl w:val="0"/>
          <w:numId w:val="37"/>
        </w:numPr>
      </w:pPr>
      <w:r w:rsidRPr="00292372">
        <w:t>using data and analysis effectively; and</w:t>
      </w:r>
    </w:p>
    <w:p w14:paraId="592440EB" w14:textId="77777777" w:rsidR="00292372" w:rsidRPr="00292372" w:rsidRDefault="00292372" w:rsidP="00292372">
      <w:pPr>
        <w:numPr>
          <w:ilvl w:val="0"/>
          <w:numId w:val="37"/>
        </w:numPr>
      </w:pPr>
      <w:r w:rsidRPr="00292372">
        <w:t>improving RASSO investigations through effective use of </w:t>
      </w:r>
      <w:hyperlink r:id="rId30" w:history="1">
        <w:r w:rsidRPr="00292372">
          <w:rPr>
            <w:rStyle w:val="Hyperlink"/>
          </w:rPr>
          <w:t>digital forensics</w:t>
        </w:r>
      </w:hyperlink>
      <w:r w:rsidRPr="00292372">
        <w:t>.</w:t>
      </w:r>
    </w:p>
    <w:p w14:paraId="67C2344A" w14:textId="12574FC8" w:rsidR="00FA580F" w:rsidRDefault="000D0848">
      <w:r w:rsidRPr="000D0848">
        <w:t>The NOM</w:t>
      </w:r>
      <w:r w:rsidR="00D13C91" w:rsidRPr="000D0848">
        <w:t xml:space="preserve"> aims promotes a victim-</w:t>
      </w:r>
      <w:r w:rsidRPr="000D0848">
        <w:t>centred</w:t>
      </w:r>
      <w:r w:rsidR="00D13C91" w:rsidRPr="000D0848">
        <w:t xml:space="preserve">, suspect-focused </w:t>
      </w:r>
      <w:r w:rsidR="006D1672" w:rsidRPr="000D0848">
        <w:t>context</w:t>
      </w:r>
      <w:r w:rsidR="00D13C91" w:rsidRPr="000D0848">
        <w:t xml:space="preserve">-led approach to </w:t>
      </w:r>
      <w:r w:rsidR="006D1672" w:rsidRPr="000D0848">
        <w:t xml:space="preserve">RASSO </w:t>
      </w:r>
      <w:r w:rsidR="00543429" w:rsidRPr="000D0848">
        <w:t xml:space="preserve">investigations. </w:t>
      </w:r>
      <w:r w:rsidR="00A94195">
        <w:t xml:space="preserve">All forces must have implemented the NOM by November 2024. </w:t>
      </w:r>
    </w:p>
    <w:p w14:paraId="10F16CD2" w14:textId="246F2DD2" w:rsidR="009C65DE" w:rsidRDefault="009C65DE">
      <w:r>
        <w:t xml:space="preserve">The most recent inspection </w:t>
      </w:r>
      <w:r w:rsidR="00204956">
        <w:t xml:space="preserve">by HMICFRS of </w:t>
      </w:r>
      <w:r w:rsidR="00BC24CE">
        <w:t xml:space="preserve">9 </w:t>
      </w:r>
      <w:r w:rsidR="00204956">
        <w:t xml:space="preserve">early adopter forces found that </w:t>
      </w:r>
      <w:r w:rsidR="00BC24CE">
        <w:t xml:space="preserve">there were positive indications that the NOM was leading to a </w:t>
      </w:r>
      <w:r w:rsidR="00BC24CE" w:rsidRPr="00BC24CE">
        <w:t>positive cultural change</w:t>
      </w:r>
      <w:r w:rsidR="00DE3CF1">
        <w:t xml:space="preserve"> and </w:t>
      </w:r>
      <w:r w:rsidR="000770CB">
        <w:t>improvements in RASSO investigations.</w:t>
      </w:r>
      <w:r w:rsidR="00BC24CE">
        <w:t xml:space="preserve"> </w:t>
      </w:r>
      <w:r w:rsidR="001F4C0B">
        <w:t>However, it noted that significant areas require improvement making 1</w:t>
      </w:r>
      <w:r w:rsidR="00367216">
        <w:t>4</w:t>
      </w:r>
      <w:r w:rsidR="001F4C0B">
        <w:t xml:space="preserve"> recommendations </w:t>
      </w:r>
      <w:r w:rsidR="001C00BA">
        <w:t xml:space="preserve">to </w:t>
      </w:r>
      <w:r w:rsidR="001C00BA" w:rsidRPr="001C00BA">
        <w:t>chief constables, the National Police Chiefs Council, the College of Policing and others.</w:t>
      </w:r>
      <w:r w:rsidR="000770CB">
        <w:rPr>
          <w:rStyle w:val="FootnoteReference"/>
        </w:rPr>
        <w:footnoteReference w:id="26"/>
      </w:r>
    </w:p>
    <w:p w14:paraId="44C09620" w14:textId="51E48B5D" w:rsidR="000D0848" w:rsidRPr="003D44CE" w:rsidRDefault="003D44CE" w:rsidP="003D44CE">
      <w:pPr>
        <w:pStyle w:val="Heading4"/>
      </w:pPr>
      <w:r w:rsidRPr="003D44CE">
        <w:t>Regional significance:</w:t>
      </w:r>
      <w:r w:rsidR="00120420">
        <w:br/>
      </w:r>
    </w:p>
    <w:p w14:paraId="3EE92E9A" w14:textId="1A5D7757" w:rsidR="003D44CE" w:rsidRDefault="003D44CE" w:rsidP="00211FDB">
      <w:r>
        <w:t xml:space="preserve">South Yorkshire Police was not an early adopter force of Soteria and therefore </w:t>
      </w:r>
      <w:r w:rsidR="00D7064A">
        <w:t xml:space="preserve">there is no </w:t>
      </w:r>
      <w:r w:rsidR="00AF6C3F">
        <w:t>publicly</w:t>
      </w:r>
      <w:r w:rsidR="00D7064A">
        <w:t xml:space="preserve"> available data </w:t>
      </w:r>
      <w:r w:rsidR="00AF6C3F">
        <w:t>yet</w:t>
      </w:r>
      <w:r w:rsidR="00D7064A">
        <w:t xml:space="preserve"> to </w:t>
      </w:r>
      <w:r w:rsidR="00AF6C3F">
        <w:t xml:space="preserve">assess progress in this area. </w:t>
      </w:r>
      <w:r w:rsidR="000770CB">
        <w:t>However, w</w:t>
      </w:r>
      <w:r w:rsidR="00AF6C3F">
        <w:t>e do know that South Yorkshire Police was the force with the highest proportion of victim/survivor responses to the police experience survey</w:t>
      </w:r>
      <w:r w:rsidR="0018429B">
        <w:t xml:space="preserve">. </w:t>
      </w:r>
    </w:p>
    <w:p w14:paraId="28981DFF" w14:textId="433958A3" w:rsidR="00FA580F" w:rsidRDefault="00FA580F">
      <w:pPr>
        <w:rPr>
          <w:rFonts w:asciiTheme="majorHAnsi" w:eastAsiaTheme="majorEastAsia" w:hAnsiTheme="majorHAnsi" w:cstheme="majorBidi"/>
          <w:b/>
          <w:bCs/>
          <w:color w:val="2F5496" w:themeColor="accent1" w:themeShade="BF"/>
          <w:sz w:val="32"/>
          <w:szCs w:val="32"/>
        </w:rPr>
      </w:pPr>
    </w:p>
    <w:p w14:paraId="0ED6B211" w14:textId="1F2C4BC8" w:rsidR="00FF6A74" w:rsidRPr="00F378D0" w:rsidRDefault="00EA12D6" w:rsidP="00844D83">
      <w:pPr>
        <w:pStyle w:val="Style2"/>
      </w:pPr>
      <w:r w:rsidRPr="00F378D0">
        <w:t>Criminal Prosecution Service</w:t>
      </w:r>
      <w:r w:rsidR="0002503A" w:rsidRPr="00F378D0">
        <w:t xml:space="preserve"> (CPS) Victim Transformation Plan</w:t>
      </w:r>
      <w:r w:rsidR="008826B6" w:rsidRPr="00F378D0">
        <w:t>:</w:t>
      </w:r>
      <w:r w:rsidR="0002503A" w:rsidRPr="00F378D0">
        <w:br/>
      </w:r>
    </w:p>
    <w:p w14:paraId="368EEFA5" w14:textId="276DF190" w:rsidR="008826B6" w:rsidRPr="003E2E90" w:rsidRDefault="396C9C5C" w:rsidP="2AEF0F6D">
      <w:r w:rsidRPr="003E2E90">
        <w:t xml:space="preserve">Following </w:t>
      </w:r>
      <w:r w:rsidR="62AFDFF2" w:rsidRPr="003E2E90">
        <w:t xml:space="preserve">a </w:t>
      </w:r>
      <w:r w:rsidR="5DAC2141" w:rsidRPr="003E2E90">
        <w:t xml:space="preserve">needs assessment by Crest Advisory </w:t>
      </w:r>
      <w:r w:rsidR="2C2734DD" w:rsidRPr="003E2E90">
        <w:t xml:space="preserve">the CPS launched a Victim Transformation Programme </w:t>
      </w:r>
      <w:r w:rsidR="418793DD" w:rsidRPr="003E2E90">
        <w:t>to improve the response victims get with the CPS</w:t>
      </w:r>
      <w:r w:rsidR="6558E9D7" w:rsidRPr="003E2E90">
        <w:t>, this will be rolled out from spring 2024</w:t>
      </w:r>
      <w:r w:rsidR="418793DD" w:rsidRPr="003E2E90">
        <w:t xml:space="preserve">. </w:t>
      </w:r>
      <w:r w:rsidR="13603B46" w:rsidRPr="003E2E90">
        <w:t xml:space="preserve">There are </w:t>
      </w:r>
      <w:r w:rsidR="18C5726E" w:rsidRPr="003E2E90">
        <w:t>four</w:t>
      </w:r>
      <w:r w:rsidR="13603B46" w:rsidRPr="003E2E90">
        <w:t xml:space="preserve"> main commitments in this </w:t>
      </w:r>
      <w:r w:rsidR="6558E9D7" w:rsidRPr="003E2E90">
        <w:t>plan:</w:t>
      </w:r>
      <w:r w:rsidR="13603B46" w:rsidRPr="003E2E90">
        <w:t xml:space="preserve"> an improved universal offer to victims, </w:t>
      </w:r>
      <w:r w:rsidR="0ACFCF05" w:rsidRPr="003E2E90">
        <w:t>an enhanced offer for victims with the greatest need</w:t>
      </w:r>
      <w:r w:rsidR="6612AA15" w:rsidRPr="003E2E90">
        <w:t xml:space="preserve">, </w:t>
      </w:r>
      <w:r w:rsidR="18C5726E" w:rsidRPr="003E2E90">
        <w:t>piloting new ways of strengthening victim engagement and communication, and</w:t>
      </w:r>
      <w:r w:rsidR="734714A2" w:rsidRPr="003E2E90">
        <w:t xml:space="preserve"> building organisational and leadership culture. </w:t>
      </w:r>
      <w:r w:rsidR="4B2E8997" w:rsidRPr="003E2E90">
        <w:t>In the context of rape and serious sexual offences</w:t>
      </w:r>
      <w:r w:rsidR="3DFB5BD0" w:rsidRPr="003E2E90">
        <w:t xml:space="preserve"> (RASSO)</w:t>
      </w:r>
      <w:r w:rsidR="4B2E8997" w:rsidRPr="003E2E90">
        <w:t xml:space="preserve"> this </w:t>
      </w:r>
      <w:r w:rsidR="637314B6" w:rsidRPr="003E2E90">
        <w:t xml:space="preserve">transformation plan includes </w:t>
      </w:r>
      <w:r w:rsidR="5CA8694A" w:rsidRPr="003E2E90">
        <w:t xml:space="preserve">the provision of an enhanced response to victims, </w:t>
      </w:r>
      <w:r w:rsidR="26A1E196" w:rsidRPr="003E2E90">
        <w:t xml:space="preserve">with more tailored communications to victims. </w:t>
      </w:r>
      <w:r w:rsidR="27B0845F" w:rsidRPr="003E2E90">
        <w:t xml:space="preserve">Yorkshire and Humber will be a trailblazer in this area, and key to this </w:t>
      </w:r>
      <w:r w:rsidR="3C9EA9E0" w:rsidRPr="003E2E90">
        <w:t>will be</w:t>
      </w:r>
      <w:r w:rsidR="46AAE69A" w:rsidRPr="003E2E90">
        <w:t xml:space="preserve"> dedicated Victim Liaison Officer roles in RASSO units,</w:t>
      </w:r>
      <w:r w:rsidR="471C4907" w:rsidRPr="003E2E90">
        <w:t xml:space="preserve"> a dedicated ISVA inbox and pre-trial meetings with victims.</w:t>
      </w:r>
      <w:r w:rsidR="007755FB" w:rsidRPr="003E2E90">
        <w:rPr>
          <w:rStyle w:val="FootnoteReference"/>
        </w:rPr>
        <w:footnoteReference w:id="27"/>
      </w:r>
    </w:p>
    <w:p w14:paraId="2B0625CD" w14:textId="2B995FBC" w:rsidR="00FF6A74" w:rsidRPr="00165A4B" w:rsidRDefault="35DA61BA" w:rsidP="2AEF0F6D">
      <w:pPr>
        <w:rPr>
          <w:b/>
          <w:bCs/>
          <w:color w:val="5B9BD5" w:themeColor="accent5"/>
        </w:rPr>
      </w:pPr>
      <w:r w:rsidRPr="2AEF0F6D">
        <w:t>At</w:t>
      </w:r>
      <w:r w:rsidR="75B9ADC8" w:rsidRPr="2AEF0F6D">
        <w:t xml:space="preserve"> the time of writing, </w:t>
      </w:r>
      <w:r w:rsidRPr="2AEF0F6D">
        <w:t xml:space="preserve">this is </w:t>
      </w:r>
      <w:r w:rsidR="75B9ADC8" w:rsidRPr="2AEF0F6D">
        <w:t>an ongoing piece of work</w:t>
      </w:r>
      <w:r w:rsidR="15C3CEB8" w:rsidRPr="2AEF0F6D">
        <w:t>.</w:t>
      </w:r>
    </w:p>
    <w:p w14:paraId="23A3DE4A" w14:textId="533B8477" w:rsidR="00100AEB" w:rsidRDefault="00FF6A74" w:rsidP="003E2E90">
      <w:pPr>
        <w:rPr>
          <w:b/>
          <w:bCs/>
        </w:rPr>
      </w:pPr>
      <w:r w:rsidRPr="00120420">
        <w:rPr>
          <w:b/>
          <w:bCs/>
        </w:rPr>
        <w:t>Recommendation: To</w:t>
      </w:r>
      <w:r>
        <w:rPr>
          <w:b/>
          <w:bCs/>
        </w:rPr>
        <w:t xml:space="preserve"> continue</w:t>
      </w:r>
      <w:r w:rsidRPr="00120420">
        <w:rPr>
          <w:b/>
          <w:bCs/>
        </w:rPr>
        <w:t xml:space="preserve"> work with </w:t>
      </w:r>
      <w:r>
        <w:rPr>
          <w:b/>
          <w:bCs/>
        </w:rPr>
        <w:t>partners, including as</w:t>
      </w:r>
      <w:r w:rsidRPr="00120420">
        <w:rPr>
          <w:b/>
          <w:bCs/>
        </w:rPr>
        <w:t xml:space="preserve"> part of the RASSO </w:t>
      </w:r>
      <w:r w:rsidR="00153ACB">
        <w:rPr>
          <w:b/>
          <w:bCs/>
        </w:rPr>
        <w:t>Quarterly Meeting,</w:t>
      </w:r>
      <w:r w:rsidRPr="00120420">
        <w:rPr>
          <w:b/>
          <w:bCs/>
        </w:rPr>
        <w:t xml:space="preserve"> to ensure that</w:t>
      </w:r>
      <w:r w:rsidR="00153ACB">
        <w:rPr>
          <w:b/>
          <w:bCs/>
        </w:rPr>
        <w:t xml:space="preserve"> progress in monitored, issues are addressed, and this work i</w:t>
      </w:r>
      <w:r w:rsidRPr="00120420">
        <w:rPr>
          <w:b/>
          <w:bCs/>
        </w:rPr>
        <w:t>nforms strategic ambitions and maximise opportunities for joint working</w:t>
      </w:r>
      <w:r w:rsidR="00153ACB">
        <w:rPr>
          <w:b/>
          <w:bCs/>
        </w:rPr>
        <w:t xml:space="preserve"> </w:t>
      </w:r>
      <w:proofErr w:type="gramStart"/>
      <w:r w:rsidR="00153ACB">
        <w:rPr>
          <w:b/>
          <w:bCs/>
        </w:rPr>
        <w:t>as a result of</w:t>
      </w:r>
      <w:proofErr w:type="gramEnd"/>
      <w:r w:rsidR="00153ACB">
        <w:rPr>
          <w:b/>
          <w:bCs/>
        </w:rPr>
        <w:t xml:space="preserve"> Operation Soteria and the Victim Transformation Programme.</w:t>
      </w:r>
    </w:p>
    <w:p w14:paraId="2E67C7ED" w14:textId="0881B2B5" w:rsidR="00100AEB" w:rsidRPr="00BB2DDA" w:rsidRDefault="00100AEB" w:rsidP="00100AEB">
      <w:pPr>
        <w:rPr>
          <w:b/>
          <w:bCs/>
        </w:rPr>
      </w:pPr>
      <w:r w:rsidRPr="00844D83">
        <w:rPr>
          <w:rStyle w:val="Style2Char"/>
        </w:rPr>
        <w:t>What do we know about convicted sexual offenders?</w:t>
      </w:r>
      <w:r w:rsidRPr="00BB2DDA">
        <w:rPr>
          <w:b/>
          <w:bCs/>
        </w:rPr>
        <w:br/>
      </w:r>
      <w:r w:rsidRPr="00745AB9">
        <w:br/>
      </w:r>
      <w:r>
        <w:rPr>
          <w:rFonts w:cstheme="minorHAnsi"/>
        </w:rPr>
        <w:t xml:space="preserve">Whilst we are aware that well established delays and concerns are around the criminal justice system mean that only a small number of perpetrators of sexual violence are convicted, the following data shows the scale of convicted sexual offenders nationally and regionally. </w:t>
      </w:r>
    </w:p>
    <w:p w14:paraId="5E6D9B00" w14:textId="77777777" w:rsidR="00100AEB" w:rsidRPr="002C3C4C" w:rsidRDefault="00100AEB" w:rsidP="00100AEB">
      <w:pPr>
        <w:pStyle w:val="Heading4"/>
      </w:pPr>
      <w:r>
        <w:t>MAPPA data:</w:t>
      </w:r>
    </w:p>
    <w:p w14:paraId="2DE028EA" w14:textId="77777777" w:rsidR="00100AEB" w:rsidRDefault="00100AEB" w:rsidP="00100AEB">
      <w:r>
        <w:t>Mu</w:t>
      </w:r>
      <w:r w:rsidRPr="00AB42F2">
        <w:t>lti-Agency Public Protection Arrangements</w:t>
      </w:r>
      <w:r>
        <w:t xml:space="preserve"> (MAPPA) are designed </w:t>
      </w:r>
      <w:r w:rsidRPr="00FC3F02">
        <w:t>to protect the public, including victims of crime, from serious harm by sexual or violent and other dangerous offenders.</w:t>
      </w:r>
      <w:r>
        <w:t xml:space="preserve"> The responsible authorities are the police and probation services. Category 1 MAPPA offenders are r</w:t>
      </w:r>
      <w:r w:rsidRPr="006C1150">
        <w:t>egistered sexual offender</w:t>
      </w:r>
      <w:r>
        <w:t>s</w:t>
      </w:r>
      <w:r w:rsidRPr="006C1150">
        <w:t>. This includes offenders required to comply with notification requirements under the Sexual Offence Act 2003, Part 2.</w:t>
      </w:r>
    </w:p>
    <w:p w14:paraId="0B8E71A7" w14:textId="77777777" w:rsidR="00100AEB" w:rsidRPr="001906AA" w:rsidRDefault="00100AEB" w:rsidP="00100AEB">
      <w:r w:rsidRPr="001906AA">
        <w:t>The police have statutory responsibilities to manage the notification requirements of sexual offenders in Cat</w:t>
      </w:r>
      <w:r>
        <w:t>egory</w:t>
      </w:r>
      <w:r w:rsidRPr="001906AA">
        <w:t xml:space="preserve"> 1 and will perform the role of lead agency when they are no longer subject to National Probation Services (NPS) statutory supervision.</w:t>
      </w:r>
      <w:r>
        <w:t xml:space="preserve">  They</w:t>
      </w:r>
      <w:r w:rsidRPr="001906AA">
        <w:t xml:space="preserve"> must ensure that all breaches of notification requirements are promptly followed up and appropriate action taken.</w:t>
      </w:r>
    </w:p>
    <w:p w14:paraId="72AAC292" w14:textId="77777777" w:rsidR="00100AEB" w:rsidRDefault="00100AEB" w:rsidP="00100AEB">
      <w:r>
        <w:t xml:space="preserve">Each Category 1 MAPPA offender is managed at either Level 1 (ordinary agency management), Level 2 (active multiagency management) or Level 3 (active enhanced multiagency management). </w:t>
      </w:r>
      <w:r>
        <w:rPr>
          <w:rStyle w:val="FootnoteReference"/>
        </w:rPr>
        <w:footnoteReference w:id="28"/>
      </w:r>
      <w:r>
        <w:br/>
      </w:r>
      <w:r>
        <w:br/>
        <w:t>The MAPPA population nationally as of 31</w:t>
      </w:r>
      <w:r w:rsidRPr="002B2800">
        <w:rPr>
          <w:vertAlign w:val="superscript"/>
        </w:rPr>
        <w:t>st</w:t>
      </w:r>
      <w:r>
        <w:t xml:space="preserve"> March 2023 was 91,040, and</w:t>
      </w:r>
      <w:r w:rsidRPr="00B82D5A">
        <w:t xml:space="preserve"> 70-75% of MAPPA offenders are Category 1, consistent over the last decade.</w:t>
      </w:r>
      <w:r>
        <w:rPr>
          <w:rStyle w:val="FootnoteReference"/>
        </w:rPr>
        <w:footnoteReference w:id="29"/>
      </w:r>
    </w:p>
    <w:p w14:paraId="1BF75001" w14:textId="77777777" w:rsidR="00100AEB" w:rsidRDefault="00100AEB" w:rsidP="00100AEB">
      <w:pPr>
        <w:pStyle w:val="ListParagraph"/>
        <w:numPr>
          <w:ilvl w:val="0"/>
          <w:numId w:val="33"/>
        </w:numPr>
      </w:pPr>
      <w:r>
        <w:t>76% of those managed at level 1 were Category 1 offenders</w:t>
      </w:r>
    </w:p>
    <w:p w14:paraId="79C4FEAA" w14:textId="77777777" w:rsidR="00100AEB" w:rsidRDefault="00100AEB" w:rsidP="00100AEB">
      <w:pPr>
        <w:pStyle w:val="ListParagraph"/>
        <w:numPr>
          <w:ilvl w:val="0"/>
          <w:numId w:val="33"/>
        </w:numPr>
      </w:pPr>
      <w:r>
        <w:t>31% of those managed at level 2 were Category 1 offenders</w:t>
      </w:r>
    </w:p>
    <w:p w14:paraId="156ACAD4" w14:textId="77777777" w:rsidR="00100AEB" w:rsidRDefault="00100AEB" w:rsidP="00100AEB">
      <w:pPr>
        <w:pStyle w:val="ListParagraph"/>
        <w:numPr>
          <w:ilvl w:val="0"/>
          <w:numId w:val="33"/>
        </w:numPr>
      </w:pPr>
      <w:r>
        <w:t>23% of those managed at level 3 were Category 1 offenders</w:t>
      </w:r>
    </w:p>
    <w:p w14:paraId="3CF3DF4A" w14:textId="77777777" w:rsidR="00100AEB" w:rsidRDefault="00100AEB" w:rsidP="00100AEB">
      <w:r>
        <w:t xml:space="preserve">Protective notices are designed to further safeguard victims, </w:t>
      </w:r>
      <w:r w:rsidRPr="00A533AB">
        <w:t>5,653 S</w:t>
      </w:r>
      <w:r>
        <w:t xml:space="preserve">exual </w:t>
      </w:r>
      <w:r w:rsidRPr="00A533AB">
        <w:t>H</w:t>
      </w:r>
      <w:r>
        <w:t xml:space="preserve">arm Protective </w:t>
      </w:r>
      <w:r w:rsidRPr="00A533AB">
        <w:t>O</w:t>
      </w:r>
      <w:r>
        <w:t>rder</w:t>
      </w:r>
      <w:r w:rsidRPr="00A533AB">
        <w:t xml:space="preserve">s </w:t>
      </w:r>
      <w:r>
        <w:t xml:space="preserve">(SHPOs) were </w:t>
      </w:r>
      <w:r w:rsidRPr="00A533AB">
        <w:t>imposed in 2022/23</w:t>
      </w:r>
      <w:r>
        <w:t xml:space="preserve">, </w:t>
      </w:r>
      <w:r w:rsidRPr="0033336E">
        <w:t>a decrease of 2% on last year.</w:t>
      </w:r>
    </w:p>
    <w:p w14:paraId="72C9DD2A" w14:textId="77777777" w:rsidR="00100AEB" w:rsidRDefault="00100AEB" w:rsidP="00100AEB">
      <w:pPr>
        <w:pStyle w:val="Heading3"/>
      </w:pPr>
      <w:r>
        <w:t>Regional data:</w:t>
      </w:r>
    </w:p>
    <w:p w14:paraId="453698CE" w14:textId="77777777" w:rsidR="00100AEB" w:rsidRDefault="00100AEB" w:rsidP="00100AEB">
      <w:r>
        <w:t>Data from the most recent accounts from South Yorkshire from the year 2022/2023</w:t>
      </w:r>
      <w:r>
        <w:rPr>
          <w:rStyle w:val="FootnoteReference"/>
        </w:rPr>
        <w:footnoteReference w:id="30"/>
      </w:r>
      <w:r>
        <w:t xml:space="preserve"> show that there is a total of 2512 MAPPA offenders as of March 31</w:t>
      </w:r>
      <w:r w:rsidRPr="00013CA4">
        <w:rPr>
          <w:vertAlign w:val="superscript"/>
        </w:rPr>
        <w:t>st</w:t>
      </w:r>
      <w:r>
        <w:t xml:space="preserve">, 2023. Of these 1806 are Category 1 MAPPA offenders. 99% (1794) are managed at Level 1, and 1% (12) are managed at Level 2. No category 1 offenders are managed at Level 3. </w:t>
      </w:r>
    </w:p>
    <w:p w14:paraId="5A90FD1D" w14:textId="41F5A0A5" w:rsidR="00100AEB" w:rsidRDefault="00100AEB" w:rsidP="00100AEB">
      <w:r>
        <w:t xml:space="preserve">In South Yorkshire 170 (9%) Category 1 </w:t>
      </w:r>
      <w:r w:rsidR="002B6629">
        <w:t xml:space="preserve">MAPPA </w:t>
      </w:r>
      <w:r>
        <w:t xml:space="preserve">offenders are subject to Sexual Harm Protection Orders (SHPO), and 4 (0.2%) are subject to notification orders. </w:t>
      </w:r>
    </w:p>
    <w:p w14:paraId="074B190E" w14:textId="77777777" w:rsidR="00100AEB" w:rsidRDefault="00100AEB" w:rsidP="00100AEB">
      <w:r>
        <w:t>In the year 2022/2023:</w:t>
      </w:r>
    </w:p>
    <w:p w14:paraId="670CE78E" w14:textId="77777777" w:rsidR="00100AEB" w:rsidRDefault="00100AEB" w:rsidP="00100AEB">
      <w:pPr>
        <w:pStyle w:val="ListParagraph"/>
        <w:numPr>
          <w:ilvl w:val="0"/>
          <w:numId w:val="34"/>
        </w:numPr>
      </w:pPr>
      <w:r>
        <w:t xml:space="preserve">21 Category 1 offenders were cautioned or convicted for a breach of notification requirements.  </w:t>
      </w:r>
    </w:p>
    <w:p w14:paraId="751C18A3" w14:textId="77777777" w:rsidR="00100AEB" w:rsidRDefault="00100AEB" w:rsidP="00100AEB">
      <w:pPr>
        <w:pStyle w:val="ListParagraph"/>
        <w:numPr>
          <w:ilvl w:val="0"/>
          <w:numId w:val="34"/>
        </w:numPr>
      </w:pPr>
      <w:r>
        <w:t>6 Category 1 offenders managed at Level 2 were returned to custody.</w:t>
      </w:r>
    </w:p>
    <w:p w14:paraId="51EA0E30" w14:textId="77777777" w:rsidR="00100AEB" w:rsidRDefault="00100AEB" w:rsidP="00100AEB">
      <w:pPr>
        <w:pStyle w:val="ListParagraph"/>
        <w:numPr>
          <w:ilvl w:val="0"/>
          <w:numId w:val="34"/>
        </w:numPr>
      </w:pPr>
      <w:r>
        <w:t xml:space="preserve">9 Category 1 offenders had their lifetime notification requirements revoked upon application in this period. </w:t>
      </w:r>
    </w:p>
    <w:p w14:paraId="1B2F33B6" w14:textId="27F10292" w:rsidR="00100AEB" w:rsidRDefault="00100AEB" w:rsidP="00100AEB">
      <w:pPr>
        <w:pStyle w:val="ListParagraph"/>
        <w:numPr>
          <w:ilvl w:val="0"/>
          <w:numId w:val="34"/>
        </w:numPr>
      </w:pPr>
      <w:r>
        <w:t>No SHPO were breached in this period.</w:t>
      </w:r>
      <w:r w:rsidR="4A216872">
        <w:t xml:space="preserve"> </w:t>
      </w:r>
    </w:p>
    <w:p w14:paraId="6E3E7567" w14:textId="6C53CA16" w:rsidR="002B6629" w:rsidRPr="003E2E90" w:rsidRDefault="0E7D180D" w:rsidP="2AEF0F6D">
      <w:r w:rsidRPr="003E2E90">
        <w:t xml:space="preserve">SHPO </w:t>
      </w:r>
      <w:r w:rsidR="5469FF67" w:rsidRPr="003E2E90">
        <w:t xml:space="preserve">are not exclusive to offenders managed under MAPPA. </w:t>
      </w:r>
      <w:r w:rsidR="6F2C4ECE" w:rsidRPr="003E2E90">
        <w:t>A</w:t>
      </w:r>
      <w:r w:rsidRPr="003E2E90">
        <w:t xml:space="preserve">n </w:t>
      </w:r>
      <w:r w:rsidR="6F2C4ECE" w:rsidRPr="003E2E90">
        <w:t xml:space="preserve">FOI to SYP </w:t>
      </w:r>
      <w:r w:rsidR="334CA326" w:rsidRPr="003E2E90">
        <w:t xml:space="preserve">revealed that the total number of </w:t>
      </w:r>
      <w:r w:rsidRPr="003E2E90">
        <w:t>SHPOs in South Yorkshire was at the time of responding 942.</w:t>
      </w:r>
      <w:r w:rsidR="5469FF67" w:rsidRPr="003E2E90">
        <w:t xml:space="preserve"> </w:t>
      </w:r>
      <w:r w:rsidR="78EF3C0F" w:rsidRPr="003E2E90">
        <w:t>In the year April 2023- March 2024 there were 68 breaches</w:t>
      </w:r>
      <w:r w:rsidR="7ABD9E3E" w:rsidRPr="003E2E90">
        <w:t xml:space="preserve"> of SHPO. </w:t>
      </w:r>
      <w:r w:rsidR="00AD1753" w:rsidRPr="003E2E90">
        <w:rPr>
          <w:rStyle w:val="FootnoteReference"/>
        </w:rPr>
        <w:footnoteReference w:id="31"/>
      </w:r>
    </w:p>
    <w:p w14:paraId="7CDF92A6" w14:textId="77777777" w:rsidR="00100AEB" w:rsidRDefault="00100AEB" w:rsidP="00100AEB">
      <w:r>
        <w:t>In August 2024 His Majesty’s Inspectorate Constabulary and Fire Resue Service (HMICFRS) published a report into the progress made in early adopter forces in implementing the national operating model (NOM) for Soteria. One of the areas identified was that the identification and disruption of repeat offenders was an area needing more consistency and improvement, noting that MAPPA arrangements are only for convicted sexual offenders.</w:t>
      </w:r>
      <w:r>
        <w:rPr>
          <w:rStyle w:val="FootnoteReference"/>
        </w:rPr>
        <w:footnoteReference w:id="32"/>
      </w:r>
    </w:p>
    <w:p w14:paraId="2809D9BA" w14:textId="77777777" w:rsidR="00100AEB" w:rsidRPr="001D6ABB" w:rsidRDefault="00100AEB" w:rsidP="00100AEB">
      <w:pPr>
        <w:pStyle w:val="Heading4"/>
      </w:pPr>
      <w:r>
        <w:t>Probation data:</w:t>
      </w:r>
    </w:p>
    <w:p w14:paraId="1CF26BF2" w14:textId="77777777" w:rsidR="00100AEB" w:rsidRDefault="00100AEB" w:rsidP="00100AEB">
      <w:r>
        <w:t>From national probation data we know that:</w:t>
      </w:r>
    </w:p>
    <w:p w14:paraId="1B23DF4F" w14:textId="77777777" w:rsidR="00100AEB" w:rsidRDefault="00100AEB" w:rsidP="00100AEB">
      <w:pPr>
        <w:pStyle w:val="ListParagraph"/>
        <w:numPr>
          <w:ilvl w:val="0"/>
          <w:numId w:val="35"/>
        </w:numPr>
      </w:pPr>
      <w:r>
        <w:t>2096 sexual offenders are being managed on a community order</w:t>
      </w:r>
    </w:p>
    <w:p w14:paraId="4A3A9C9C" w14:textId="77777777" w:rsidR="00100AEB" w:rsidRDefault="00100AEB" w:rsidP="00100AEB">
      <w:pPr>
        <w:pStyle w:val="ListParagraph"/>
        <w:numPr>
          <w:ilvl w:val="0"/>
          <w:numId w:val="35"/>
        </w:numPr>
      </w:pPr>
      <w:r>
        <w:t>2001 sexual offenders are being managed on a suspended sentence order</w:t>
      </w:r>
    </w:p>
    <w:p w14:paraId="4596EE61" w14:textId="77777777" w:rsidR="00100AEB" w:rsidRDefault="00100AEB" w:rsidP="00100AEB">
      <w:pPr>
        <w:pStyle w:val="Heading2"/>
        <w:shd w:val="clear" w:color="auto" w:fill="FFFFFF"/>
        <w:spacing w:before="0" w:after="300"/>
      </w:pPr>
      <w:r>
        <w:rPr>
          <w:rFonts w:ascii="Calibri" w:hAnsi="Calibri" w:cs="Calibri"/>
          <w:color w:val="0B0C0C"/>
          <w:sz w:val="22"/>
          <w:szCs w:val="22"/>
        </w:rPr>
        <w:t>The most recent data for the c</w:t>
      </w:r>
      <w:r w:rsidRPr="001D6ABB">
        <w:rPr>
          <w:rFonts w:ascii="Calibri" w:hAnsi="Calibri" w:cs="Calibri"/>
          <w:color w:val="0B0C0C"/>
          <w:sz w:val="22"/>
          <w:szCs w:val="22"/>
        </w:rPr>
        <w:t xml:space="preserve">ompletion of targeted interventions for people convicted of sexual offences </w:t>
      </w:r>
      <w:r>
        <w:rPr>
          <w:rFonts w:ascii="Calibri" w:hAnsi="Calibri" w:cs="Calibri"/>
          <w:color w:val="0B0C0C"/>
          <w:sz w:val="22"/>
          <w:szCs w:val="22"/>
        </w:rPr>
        <w:t>for is a 57.5% completion rate. We do not have regional data in this area available for this report.</w:t>
      </w:r>
    </w:p>
    <w:p w14:paraId="4A43D3AF" w14:textId="77777777" w:rsidR="00100AEB" w:rsidRDefault="00100AEB" w:rsidP="0056511F">
      <w:pPr>
        <w:pStyle w:val="Style2"/>
      </w:pPr>
      <w:r>
        <w:t xml:space="preserve">Prison population of convicted sexual offenders: </w:t>
      </w:r>
      <w:r>
        <w:br/>
      </w:r>
    </w:p>
    <w:p w14:paraId="271CAF40" w14:textId="583D34E4" w:rsidR="00100AEB" w:rsidRDefault="00100AEB" w:rsidP="00100AEB">
      <w:r w:rsidRPr="00965908">
        <w:t>The prison population for those convicted of sexual offences of as of June 2024 is 14,437, representing 16% of all the prison population.</w:t>
      </w:r>
      <w:r w:rsidRPr="00965908">
        <w:rPr>
          <w:rStyle w:val="FootnoteReference"/>
        </w:rPr>
        <w:footnoteReference w:id="33"/>
      </w:r>
      <w:r w:rsidR="00D05564">
        <w:t xml:space="preserve"> It should be noted that </w:t>
      </w:r>
      <w:r w:rsidR="001772F7">
        <w:t xml:space="preserve">given low reporting and conviction rates this does not mean that those convicted of other offences are not also </w:t>
      </w:r>
      <w:r w:rsidR="000913EC">
        <w:t>perpetrators of sexual violence.</w:t>
      </w:r>
    </w:p>
    <w:p w14:paraId="127BF974" w14:textId="77777777" w:rsidR="00100AEB" w:rsidRPr="006D2B15" w:rsidRDefault="00100AEB" w:rsidP="003E2E90">
      <w:pPr>
        <w:rPr>
          <w:b/>
          <w:bCs/>
        </w:rPr>
      </w:pPr>
      <w:r w:rsidRPr="00AF78F0">
        <w:rPr>
          <w:b/>
          <w:bCs/>
        </w:rPr>
        <w:t>Recommendation: To utilise existing involvement within the countywide RASSO Steering Group to identify opportunities for improvement in the arrangements for disrupting repeat offenders</w:t>
      </w:r>
      <w:r>
        <w:rPr>
          <w:b/>
          <w:bCs/>
        </w:rPr>
        <w:t>.</w:t>
      </w:r>
    </w:p>
    <w:p w14:paraId="60EA6F60" w14:textId="2612FC42" w:rsidR="00EA12D6" w:rsidRDefault="00EA12D6" w:rsidP="003E2E90">
      <w:pPr>
        <w:rPr>
          <w:b/>
          <w:bCs/>
        </w:rPr>
      </w:pPr>
      <w:r>
        <w:rPr>
          <w:b/>
          <w:bCs/>
        </w:rPr>
        <w:br w:type="page"/>
      </w:r>
    </w:p>
    <w:p w14:paraId="5078432F" w14:textId="05EAD027" w:rsidR="00DC1C7A" w:rsidRDefault="00DC1C7A" w:rsidP="00DC1C7A">
      <w:pPr>
        <w:pStyle w:val="Heading1"/>
        <w:rPr>
          <w:b/>
          <w:bCs/>
        </w:rPr>
      </w:pPr>
      <w:r>
        <w:rPr>
          <w:b/>
          <w:bCs/>
        </w:rPr>
        <w:t>Understanding the s</w:t>
      </w:r>
      <w:r w:rsidRPr="00AB0F4C">
        <w:rPr>
          <w:b/>
          <w:bCs/>
        </w:rPr>
        <w:t xml:space="preserve">cale of </w:t>
      </w:r>
      <w:r w:rsidR="00421C93">
        <w:rPr>
          <w:b/>
          <w:bCs/>
        </w:rPr>
        <w:t xml:space="preserve">(sexual) </w:t>
      </w:r>
      <w:r>
        <w:rPr>
          <w:b/>
          <w:bCs/>
        </w:rPr>
        <w:t>harassment</w:t>
      </w:r>
      <w:r w:rsidRPr="00AB0F4C">
        <w:rPr>
          <w:b/>
          <w:bCs/>
        </w:rPr>
        <w:t xml:space="preserve"> in the UK</w:t>
      </w:r>
      <w:r>
        <w:rPr>
          <w:b/>
          <w:bCs/>
        </w:rPr>
        <w:t xml:space="preserve"> and Sheffield</w:t>
      </w:r>
      <w:r w:rsidRPr="00AB0F4C">
        <w:rPr>
          <w:b/>
          <w:bCs/>
        </w:rPr>
        <w:t>:</w:t>
      </w:r>
    </w:p>
    <w:p w14:paraId="36A49532" w14:textId="77777777" w:rsidR="00CC1B1D" w:rsidRDefault="00CC1B1D" w:rsidP="0099760F">
      <w:pPr>
        <w:pStyle w:val="Heading4"/>
      </w:pPr>
    </w:p>
    <w:p w14:paraId="2102C5E9" w14:textId="5796433B" w:rsidR="002A1E74" w:rsidRPr="002502D5" w:rsidRDefault="001B65AF" w:rsidP="001B65AF">
      <w:pPr>
        <w:pStyle w:val="Style2"/>
      </w:pPr>
      <w:r>
        <w:t>Developing estimates from the</w:t>
      </w:r>
      <w:r w:rsidR="002A1E74" w:rsidRPr="00F247CE">
        <w:t xml:space="preserve"> Crime Survey for England and Wales (CSEW): </w:t>
      </w:r>
    </w:p>
    <w:p w14:paraId="026F3A5D" w14:textId="7630231F" w:rsidR="002A1E74" w:rsidRDefault="002A1E74" w:rsidP="002A1E74">
      <w:pPr>
        <w:pStyle w:val="Heading4"/>
        <w:rPr>
          <w:b/>
          <w:bCs/>
        </w:rPr>
      </w:pPr>
      <w:r>
        <w:rPr>
          <w:b/>
          <w:bCs/>
        </w:rPr>
        <w:t>Harassment</w:t>
      </w:r>
      <w:r w:rsidRPr="00F247CE">
        <w:rPr>
          <w:b/>
          <w:bCs/>
        </w:rPr>
        <w:t xml:space="preserve"> estimates from the year ending March 2023:</w:t>
      </w:r>
    </w:p>
    <w:p w14:paraId="33F59392" w14:textId="20671081" w:rsidR="002255BB" w:rsidRPr="002255BB" w:rsidRDefault="002255BB" w:rsidP="002255BB">
      <w:pPr>
        <w:spacing w:after="0" w:line="240" w:lineRule="auto"/>
        <w:rPr>
          <w:rFonts w:ascii="Times New Roman" w:eastAsia="Times New Roman" w:hAnsi="Times New Roman" w:cs="Times New Roman"/>
          <w:kern w:val="0"/>
          <w:sz w:val="24"/>
          <w:szCs w:val="24"/>
          <w:lang w:eastAsia="en-GB"/>
          <w14:ligatures w14:val="none"/>
        </w:rPr>
      </w:pPr>
    </w:p>
    <w:tbl>
      <w:tblPr>
        <w:tblW w:w="565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846"/>
        <w:gridCol w:w="886"/>
        <w:gridCol w:w="1236"/>
      </w:tblGrid>
      <w:tr w:rsidR="002255BB" w:rsidRPr="002255BB" w14:paraId="16A4EC26" w14:textId="77777777" w:rsidTr="002255BB">
        <w:trPr>
          <w:trHeight w:val="415"/>
        </w:trPr>
        <w:tc>
          <w:tcPr>
            <w:tcW w:w="268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B15BD" w14:textId="77777777" w:rsidR="002255BB" w:rsidRPr="001D11D8"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b/>
                <w:bCs/>
                <w:color w:val="383838"/>
                <w:kern w:val="0"/>
                <w:sz w:val="24"/>
                <w:szCs w:val="24"/>
                <w:lang w:val="en-US" w:eastAsia="en-GB"/>
                <w14:ligatures w14:val="none"/>
              </w:rPr>
            </w:pPr>
            <w:r w:rsidRPr="001D11D8">
              <w:rPr>
                <w:rFonts w:ascii="Calibri" w:eastAsia="Times New Roman" w:hAnsi="Calibri" w:cs="Calibri"/>
                <w:b/>
                <w:bCs/>
                <w:color w:val="383838"/>
                <w:kern w:val="0"/>
                <w:sz w:val="24"/>
                <w:szCs w:val="24"/>
                <w:lang w:val="en-US" w:eastAsia="en-GB"/>
                <w14:ligatures w14:val="none"/>
              </w:rPr>
              <w:t>​</w:t>
            </w:r>
          </w:p>
          <w:p w14:paraId="62EDDB5C" w14:textId="77777777" w:rsidR="002255BB" w:rsidRPr="001D11D8"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b/>
                <w:bCs/>
                <w:color w:val="383838"/>
                <w:kern w:val="0"/>
                <w:sz w:val="24"/>
                <w:szCs w:val="24"/>
                <w:lang w:val="en-US" w:eastAsia="en-GB"/>
                <w14:ligatures w14:val="none"/>
              </w:rPr>
            </w:pPr>
            <w:r w:rsidRPr="001D11D8">
              <w:rPr>
                <w:rFonts w:ascii="Calibri" w:eastAsia="Times New Roman" w:hAnsi="Calibri" w:cs="Calibri"/>
                <w:b/>
                <w:bCs/>
                <w:color w:val="383838"/>
                <w:kern w:val="0"/>
                <w:sz w:val="24"/>
                <w:szCs w:val="24"/>
                <w:lang w:val="en-US" w:eastAsia="en-GB"/>
                <w14:ligatures w14:val="none"/>
              </w:rPr>
              <w:t>National Estimates​</w:t>
            </w:r>
          </w:p>
        </w:tc>
        <w:tc>
          <w:tcPr>
            <w:tcW w:w="296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5413F" w14:textId="77777777" w:rsidR="002255BB" w:rsidRPr="001D11D8"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b/>
                <w:bCs/>
                <w:color w:val="0C0C0C"/>
                <w:kern w:val="0"/>
                <w:sz w:val="24"/>
                <w:szCs w:val="24"/>
                <w:lang w:val="en-US" w:eastAsia="en-GB"/>
                <w14:ligatures w14:val="none"/>
              </w:rPr>
            </w:pPr>
            <w:r w:rsidRPr="001D11D8">
              <w:rPr>
                <w:rFonts w:ascii="Calibri" w:eastAsia="Times New Roman" w:hAnsi="Calibri" w:cs="Calibri"/>
                <w:b/>
                <w:bCs/>
                <w:color w:val="0C0C0C"/>
                <w:kern w:val="0"/>
                <w:sz w:val="24"/>
                <w:szCs w:val="24"/>
                <w:lang w:val="en-US" w:eastAsia="en-GB"/>
                <w14:ligatures w14:val="none"/>
              </w:rPr>
              <w:t>In the last year (%)​</w:t>
            </w:r>
          </w:p>
        </w:tc>
      </w:tr>
      <w:tr w:rsidR="002255BB" w:rsidRPr="002255BB" w14:paraId="58307FAE" w14:textId="77777777" w:rsidTr="00EF2211">
        <w:trPr>
          <w:trHeight w:val="109"/>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04349C" w14:textId="77777777" w:rsidR="002255BB" w:rsidRPr="002255BB" w:rsidRDefault="002255BB" w:rsidP="002255BB">
            <w:pPr>
              <w:spacing w:after="0" w:line="240" w:lineRule="auto"/>
              <w:jc w:val="center"/>
              <w:rPr>
                <w:rFonts w:ascii="Times New Roman" w:eastAsia="Times New Roman" w:hAnsi="Times New Roman" w:cs="Times New Roman"/>
                <w:b/>
                <w:bCs/>
                <w:color w:val="FFFFFF"/>
                <w:kern w:val="0"/>
                <w:sz w:val="24"/>
                <w:szCs w:val="24"/>
                <w:lang w:val="en-US" w:eastAsia="en-GB"/>
                <w14:ligatures w14:val="none"/>
              </w:rPr>
            </w:pPr>
          </w:p>
        </w:tc>
        <w:tc>
          <w:tcPr>
            <w:tcW w:w="8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33776"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Men​</w:t>
            </w:r>
          </w:p>
        </w:tc>
        <w:tc>
          <w:tcPr>
            <w:tcW w:w="8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38E33"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Women​</w:t>
            </w:r>
          </w:p>
        </w:tc>
        <w:tc>
          <w:tcPr>
            <w:tcW w:w="1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2F652"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All​</w:t>
            </w:r>
          </w:p>
        </w:tc>
      </w:tr>
      <w:tr w:rsidR="002255BB" w:rsidRPr="002255BB" w14:paraId="4381677E" w14:textId="77777777" w:rsidTr="00EF2211">
        <w:trPr>
          <w:trHeight w:val="443"/>
        </w:trPr>
        <w:tc>
          <w:tcPr>
            <w:tcW w:w="2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F1285" w14:textId="77777777" w:rsidR="002255BB" w:rsidRPr="001D11D8"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b/>
                <w:bCs/>
                <w:kern w:val="0"/>
                <w:lang w:val="en-US" w:eastAsia="en-GB"/>
                <w14:ligatures w14:val="none"/>
              </w:rPr>
            </w:pPr>
            <w:r w:rsidRPr="001D11D8">
              <w:rPr>
                <w:rFonts w:ascii="Calibri" w:eastAsia="Times New Roman" w:hAnsi="Calibri" w:cs="Calibri"/>
                <w:b/>
                <w:bCs/>
                <w:kern w:val="0"/>
                <w:lang w:val="en-US" w:eastAsia="en-GB"/>
                <w14:ligatures w14:val="none"/>
              </w:rPr>
              <w:t>Any Harassment​</w:t>
            </w:r>
          </w:p>
        </w:tc>
        <w:tc>
          <w:tcPr>
            <w:tcW w:w="8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67021"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7.2​</w:t>
            </w:r>
          </w:p>
        </w:tc>
        <w:tc>
          <w:tcPr>
            <w:tcW w:w="8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8667A"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13​</w:t>
            </w:r>
          </w:p>
        </w:tc>
        <w:tc>
          <w:tcPr>
            <w:tcW w:w="1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00A8C"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b/>
                <w:bCs/>
                <w:color w:val="000000"/>
                <w:kern w:val="0"/>
                <w:lang w:val="en-US" w:eastAsia="en-GB"/>
                <w14:ligatures w14:val="none"/>
              </w:rPr>
              <w:t>10.2</w:t>
            </w:r>
            <w:r w:rsidRPr="002255BB">
              <w:rPr>
                <w:rFonts w:ascii="Calibri" w:eastAsia="Times New Roman" w:hAnsi="Calibri" w:cs="Calibri"/>
                <w:color w:val="000000"/>
                <w:kern w:val="0"/>
                <w:lang w:val="en-US" w:eastAsia="en-GB"/>
                <w14:ligatures w14:val="none"/>
              </w:rPr>
              <w:t>​</w:t>
            </w:r>
          </w:p>
        </w:tc>
      </w:tr>
      <w:tr w:rsidR="002255BB" w:rsidRPr="002255BB" w14:paraId="19D784FF" w14:textId="77777777" w:rsidTr="00240354">
        <w:trPr>
          <w:trHeight w:val="376"/>
        </w:trPr>
        <w:tc>
          <w:tcPr>
            <w:tcW w:w="26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66C13F4" w14:textId="77777777" w:rsidR="002255BB" w:rsidRPr="001D11D8"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b/>
                <w:bCs/>
                <w:kern w:val="0"/>
                <w:lang w:val="en-US" w:eastAsia="en-GB"/>
                <w14:ligatures w14:val="none"/>
              </w:rPr>
            </w:pPr>
            <w:r w:rsidRPr="001D11D8">
              <w:rPr>
                <w:rFonts w:ascii="Calibri" w:eastAsia="Times New Roman" w:hAnsi="Calibri" w:cs="Calibri"/>
                <w:b/>
                <w:bCs/>
                <w:kern w:val="0"/>
                <w:lang w:val="en-US" w:eastAsia="en-GB"/>
                <w14:ligatures w14:val="none"/>
              </w:rPr>
              <w:t>Sexual Harassment​</w:t>
            </w:r>
          </w:p>
        </w:tc>
        <w:tc>
          <w:tcPr>
            <w:tcW w:w="84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B4666EA"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3​</w:t>
            </w:r>
          </w:p>
        </w:tc>
        <w:tc>
          <w:tcPr>
            <w:tcW w:w="8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6E6C85F"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8​</w:t>
            </w:r>
          </w:p>
        </w:tc>
        <w:tc>
          <w:tcPr>
            <w:tcW w:w="12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EA1A22D"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b/>
                <w:bCs/>
                <w:color w:val="000000"/>
                <w:kern w:val="0"/>
                <w:lang w:val="en-US" w:eastAsia="en-GB"/>
                <w14:ligatures w14:val="none"/>
              </w:rPr>
              <w:t>5</w:t>
            </w:r>
            <w:r w:rsidRPr="002255BB">
              <w:rPr>
                <w:rFonts w:ascii="Calibri" w:eastAsia="Times New Roman" w:hAnsi="Calibri" w:cs="Calibri"/>
                <w:color w:val="000000"/>
                <w:kern w:val="0"/>
                <w:lang w:val="en-US" w:eastAsia="en-GB"/>
                <w14:ligatures w14:val="none"/>
              </w:rPr>
              <w:t>​</w:t>
            </w:r>
          </w:p>
        </w:tc>
      </w:tr>
      <w:tr w:rsidR="002255BB" w:rsidRPr="002255BB" w14:paraId="3460E75A" w14:textId="77777777" w:rsidTr="00EF2211">
        <w:trPr>
          <w:trHeight w:val="384"/>
        </w:trPr>
        <w:tc>
          <w:tcPr>
            <w:tcW w:w="2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5ECCC" w14:textId="77777777" w:rsidR="002255BB" w:rsidRPr="001D11D8"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b/>
                <w:bCs/>
                <w:kern w:val="0"/>
                <w:lang w:val="en-US" w:eastAsia="en-GB"/>
                <w14:ligatures w14:val="none"/>
              </w:rPr>
            </w:pPr>
            <w:r w:rsidRPr="001D11D8">
              <w:rPr>
                <w:rFonts w:ascii="Calibri" w:eastAsia="Times New Roman" w:hAnsi="Calibri" w:cs="Calibri"/>
                <w:b/>
                <w:bCs/>
                <w:kern w:val="0"/>
                <w:lang w:val="en-US" w:eastAsia="en-GB"/>
                <w14:ligatures w14:val="none"/>
              </w:rPr>
              <w:t>Non-sexual Harassment​</w:t>
            </w:r>
          </w:p>
        </w:tc>
        <w:tc>
          <w:tcPr>
            <w:tcW w:w="8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A36DB"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5.7​</w:t>
            </w:r>
          </w:p>
        </w:tc>
        <w:tc>
          <w:tcPr>
            <w:tcW w:w="8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76D5E"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color w:val="000000"/>
                <w:kern w:val="0"/>
                <w:lang w:val="en-US" w:eastAsia="en-GB"/>
                <w14:ligatures w14:val="none"/>
              </w:rPr>
              <w:t>7.7​</w:t>
            </w:r>
          </w:p>
        </w:tc>
        <w:tc>
          <w:tcPr>
            <w:tcW w:w="1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B61B9" w14:textId="77777777" w:rsidR="002255BB" w:rsidRPr="002255BB" w:rsidRDefault="002255BB" w:rsidP="002255BB">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2255BB">
              <w:rPr>
                <w:rFonts w:ascii="Calibri" w:eastAsia="Times New Roman" w:hAnsi="Calibri" w:cs="Calibri"/>
                <w:b/>
                <w:bCs/>
                <w:color w:val="000000"/>
                <w:kern w:val="0"/>
                <w:lang w:val="en-US" w:eastAsia="en-GB"/>
                <w14:ligatures w14:val="none"/>
              </w:rPr>
              <w:t>6.7</w:t>
            </w:r>
            <w:r w:rsidRPr="002255BB">
              <w:rPr>
                <w:rFonts w:ascii="Calibri" w:eastAsia="Times New Roman" w:hAnsi="Calibri" w:cs="Calibri"/>
                <w:color w:val="000000"/>
                <w:kern w:val="0"/>
                <w:lang w:val="en-US" w:eastAsia="en-GB"/>
                <w14:ligatures w14:val="none"/>
              </w:rPr>
              <w:t>​</w:t>
            </w:r>
          </w:p>
        </w:tc>
      </w:tr>
    </w:tbl>
    <w:p w14:paraId="400FD732" w14:textId="01396CA9" w:rsidR="00EF2211" w:rsidRPr="00EF2211" w:rsidRDefault="00EF2211" w:rsidP="00872519">
      <w:pPr>
        <w:rPr>
          <w:rFonts w:ascii="Times New Roman" w:eastAsia="Times New Roman" w:hAnsi="Times New Roman" w:cs="Times New Roman"/>
          <w:kern w:val="0"/>
          <w:sz w:val="24"/>
          <w:szCs w:val="24"/>
          <w:lang w:eastAsia="en-GB"/>
          <w14:ligatures w14:val="none"/>
        </w:rPr>
      </w:pPr>
      <w:r w:rsidRPr="00EF2211">
        <w:rPr>
          <w:b/>
          <w:bCs/>
          <w:i/>
          <w:iCs/>
        </w:rPr>
        <w:t>Table 5:</w:t>
      </w:r>
      <w:r w:rsidR="00872519">
        <w:rPr>
          <w:b/>
          <w:bCs/>
          <w:i/>
          <w:iCs/>
        </w:rPr>
        <w:t xml:space="preserve"> </w:t>
      </w:r>
      <w:r w:rsidR="00872519">
        <w:rPr>
          <w:rFonts w:asciiTheme="majorHAnsi" w:hAnsiTheme="majorHAnsi" w:cstheme="majorHAnsi"/>
          <w:b/>
          <w:bCs/>
        </w:rPr>
        <w:t xml:space="preserve">National percentage estimates for harassment including sexual harassment. </w:t>
      </w:r>
      <w:r w:rsidRPr="00EF2211">
        <w:rPr>
          <w:rFonts w:ascii="Times New Roman" w:eastAsia="Times New Roman" w:hAnsi="Times New Roman" w:cs="Times New Roman"/>
          <w:kern w:val="0"/>
          <w:sz w:val="24"/>
          <w:szCs w:val="24"/>
          <w:lang w:eastAsia="en-GB"/>
          <w14:ligatures w14:val="none"/>
        </w:rPr>
        <w:t> </w:t>
      </w:r>
    </w:p>
    <w:tbl>
      <w:tblPr>
        <w:tblW w:w="56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9"/>
        <w:gridCol w:w="850"/>
        <w:gridCol w:w="851"/>
        <w:gridCol w:w="1275"/>
      </w:tblGrid>
      <w:tr w:rsidR="00EF2211" w:rsidRPr="00EF2211" w14:paraId="3BD74786" w14:textId="77777777" w:rsidTr="00EF2211">
        <w:trPr>
          <w:trHeight w:val="149"/>
        </w:trPr>
        <w:tc>
          <w:tcPr>
            <w:tcW w:w="270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6E77F" w14:textId="631BD2EF" w:rsidR="00EF2211" w:rsidRPr="001D11D8"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b/>
                <w:bCs/>
                <w:kern w:val="0"/>
                <w:sz w:val="24"/>
                <w:szCs w:val="24"/>
                <w:lang w:val="en-US" w:eastAsia="en-GB"/>
                <w14:ligatures w14:val="none"/>
              </w:rPr>
            </w:pPr>
            <w:r w:rsidRPr="001D11D8">
              <w:rPr>
                <w:rFonts w:ascii="Calibri" w:eastAsia="Times New Roman" w:hAnsi="Calibri" w:cs="Calibri"/>
                <w:b/>
                <w:bCs/>
                <w:kern w:val="0"/>
                <w:lang w:val="en-US" w:eastAsia="en-GB"/>
                <w14:ligatures w14:val="none"/>
              </w:rPr>
              <w:t>​</w:t>
            </w:r>
            <w:r w:rsidRPr="001D11D8">
              <w:rPr>
                <w:rFonts w:ascii="Calibri" w:eastAsia="Times New Roman" w:hAnsi="Calibri" w:cs="Calibri"/>
                <w:b/>
                <w:bCs/>
                <w:kern w:val="0"/>
                <w:sz w:val="24"/>
                <w:szCs w:val="24"/>
                <w:lang w:val="en-US" w:eastAsia="en-GB"/>
                <w14:ligatures w14:val="none"/>
              </w:rPr>
              <w:t>Sheffield Estimates​</w:t>
            </w:r>
          </w:p>
        </w:tc>
        <w:tc>
          <w:tcPr>
            <w:tcW w:w="297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BDDC3" w14:textId="77777777" w:rsidR="00EF2211" w:rsidRPr="001D11D8"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b/>
                <w:bCs/>
                <w:kern w:val="0"/>
                <w:sz w:val="24"/>
                <w:szCs w:val="24"/>
                <w:lang w:val="en-US" w:eastAsia="en-GB"/>
                <w14:ligatures w14:val="none"/>
              </w:rPr>
            </w:pPr>
            <w:r w:rsidRPr="001D11D8">
              <w:rPr>
                <w:rFonts w:ascii="Calibri" w:eastAsia="Times New Roman" w:hAnsi="Calibri" w:cs="Calibri"/>
                <w:b/>
                <w:bCs/>
                <w:kern w:val="0"/>
                <w:sz w:val="24"/>
                <w:szCs w:val="24"/>
                <w:lang w:val="en-US" w:eastAsia="en-GB"/>
                <w14:ligatures w14:val="none"/>
              </w:rPr>
              <w:t>In the last year ​</w:t>
            </w:r>
          </w:p>
        </w:tc>
      </w:tr>
      <w:tr w:rsidR="00EF2211" w:rsidRPr="00EF2211" w14:paraId="55DF4F42" w14:textId="77777777" w:rsidTr="00EF2211">
        <w:trPr>
          <w:trHeight w:val="408"/>
        </w:trPr>
        <w:tc>
          <w:tcPr>
            <w:tcW w:w="270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DFB6AC" w14:textId="77777777" w:rsidR="00EF2211" w:rsidRPr="00EF2211" w:rsidRDefault="00EF2211" w:rsidP="00EF2211">
            <w:pPr>
              <w:spacing w:after="0" w:line="240" w:lineRule="auto"/>
              <w:jc w:val="center"/>
              <w:rPr>
                <w:rFonts w:ascii="Times New Roman" w:eastAsia="Times New Roman" w:hAnsi="Times New Roman" w:cs="Times New Roman"/>
                <w:b/>
                <w:bCs/>
                <w:color w:val="FFFFFF"/>
                <w:kern w:val="0"/>
                <w:lang w:val="en-US" w:eastAsia="en-GB"/>
                <w14:ligatures w14:val="none"/>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FB9E7" w14:textId="740BC731"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Men​</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BAF75"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Women​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6DB7E" w14:textId="26BC57D0" w:rsidR="00EF2211" w:rsidRPr="00EF2211" w:rsidRDefault="00EF2211" w:rsidP="00EF2211">
            <w:pPr>
              <w:spacing w:before="100" w:beforeAutospacing="1" w:after="100" w:afterAutospacing="1" w:line="240" w:lineRule="auto"/>
              <w:jc w:val="center"/>
              <w:textAlignment w:val="baseline"/>
              <w:rPr>
                <w:rFonts w:ascii="Calibri" w:eastAsia="Times New Roman" w:hAnsi="Calibri" w:cs="Calibri"/>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All​</w:t>
            </w:r>
          </w:p>
        </w:tc>
      </w:tr>
      <w:tr w:rsidR="00EF2211" w:rsidRPr="00EF2211" w14:paraId="43C8A29D" w14:textId="77777777" w:rsidTr="00EF2211">
        <w:trPr>
          <w:trHeight w:val="385"/>
        </w:trPr>
        <w:tc>
          <w:tcPr>
            <w:tcW w:w="2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089B0" w14:textId="77777777" w:rsidR="00EF2211" w:rsidRPr="001D11D8"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b/>
                <w:bCs/>
                <w:kern w:val="0"/>
                <w:lang w:val="en-US" w:eastAsia="en-GB"/>
                <w14:ligatures w14:val="none"/>
              </w:rPr>
            </w:pPr>
            <w:r w:rsidRPr="001D11D8">
              <w:rPr>
                <w:rFonts w:ascii="Calibri" w:eastAsia="Times New Roman" w:hAnsi="Calibri" w:cs="Calibri"/>
                <w:b/>
                <w:bCs/>
                <w:kern w:val="0"/>
                <w:lang w:val="en-US" w:eastAsia="en-GB"/>
                <w14:ligatures w14:val="none"/>
              </w:rPr>
              <w:t>Any Harassment​</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0DF28AA"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14, 982​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C27C1D2"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27, 190​​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14:paraId="7C437ABD"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b/>
                <w:bCs/>
                <w:color w:val="000000"/>
                <w:kern w:val="0"/>
                <w:lang w:val="en-US" w:eastAsia="en-GB"/>
                <w14:ligatures w14:val="none"/>
              </w:rPr>
              <w:t>43,558</w:t>
            </w:r>
            <w:r w:rsidRPr="00EF2211">
              <w:rPr>
                <w:rFonts w:ascii="Calibri" w:eastAsia="Times New Roman" w:hAnsi="Calibri" w:cs="Calibri"/>
                <w:color w:val="000000"/>
                <w:kern w:val="0"/>
                <w:lang w:val="en-US" w:eastAsia="en-GB"/>
                <w14:ligatures w14:val="none"/>
              </w:rPr>
              <w:t>​</w:t>
            </w:r>
          </w:p>
        </w:tc>
      </w:tr>
      <w:tr w:rsidR="00EF2211" w:rsidRPr="00EF2211" w14:paraId="307C5A14" w14:textId="77777777" w:rsidTr="00240354">
        <w:trPr>
          <w:trHeight w:val="377"/>
        </w:trPr>
        <w:tc>
          <w:tcPr>
            <w:tcW w:w="27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31347EA" w14:textId="77777777" w:rsidR="00EF2211" w:rsidRPr="001D11D8"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b/>
                <w:bCs/>
                <w:kern w:val="0"/>
                <w:lang w:val="en-US" w:eastAsia="en-GB"/>
                <w14:ligatures w14:val="none"/>
              </w:rPr>
            </w:pPr>
            <w:r w:rsidRPr="001D11D8">
              <w:rPr>
                <w:rFonts w:ascii="Calibri" w:eastAsia="Times New Roman" w:hAnsi="Calibri" w:cs="Calibri"/>
                <w:b/>
                <w:bCs/>
                <w:kern w:val="0"/>
                <w:lang w:val="en-US" w:eastAsia="en-GB"/>
                <w14:ligatures w14:val="none"/>
              </w:rPr>
              <w:t>Sexual Harassment​</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5BA9E8C"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6,242​</w:t>
            </w:r>
          </w:p>
        </w:tc>
        <w:tc>
          <w:tcPr>
            <w:tcW w:w="8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3611FBA"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16,732​</w:t>
            </w:r>
          </w:p>
        </w:tc>
        <w:tc>
          <w:tcPr>
            <w:tcW w:w="12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00AFC43"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b/>
                <w:bCs/>
                <w:color w:val="000000"/>
                <w:kern w:val="0"/>
                <w:lang w:val="en-US" w:eastAsia="en-GB"/>
                <w14:ligatures w14:val="none"/>
              </w:rPr>
              <w:t>20,862</w:t>
            </w:r>
            <w:r w:rsidRPr="00EF2211">
              <w:rPr>
                <w:rFonts w:ascii="Calibri" w:eastAsia="Times New Roman" w:hAnsi="Calibri" w:cs="Calibri"/>
                <w:color w:val="000000"/>
                <w:kern w:val="0"/>
                <w:lang w:val="en-US" w:eastAsia="en-GB"/>
                <w14:ligatures w14:val="none"/>
              </w:rPr>
              <w:t>​</w:t>
            </w:r>
          </w:p>
        </w:tc>
      </w:tr>
      <w:tr w:rsidR="00EF2211" w:rsidRPr="00EF2211" w14:paraId="225E7E31" w14:textId="77777777" w:rsidTr="00EF2211">
        <w:trPr>
          <w:trHeight w:val="368"/>
        </w:trPr>
        <w:tc>
          <w:tcPr>
            <w:tcW w:w="2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86C89" w14:textId="77777777" w:rsidR="00EF2211" w:rsidRPr="001D11D8"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b/>
                <w:bCs/>
                <w:kern w:val="0"/>
                <w:lang w:val="en-US" w:eastAsia="en-GB"/>
                <w14:ligatures w14:val="none"/>
              </w:rPr>
            </w:pPr>
            <w:r w:rsidRPr="001D11D8">
              <w:rPr>
                <w:rFonts w:ascii="Calibri" w:eastAsia="Times New Roman" w:hAnsi="Calibri" w:cs="Calibri"/>
                <w:b/>
                <w:bCs/>
                <w:kern w:val="0"/>
                <w:lang w:val="en-US" w:eastAsia="en-GB"/>
                <w14:ligatures w14:val="none"/>
              </w:rPr>
              <w:t>Non-sexual Harassment​</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B88913F"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11, 860​</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138F0AF"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color w:val="000000"/>
                <w:kern w:val="0"/>
                <w:lang w:val="en-US" w:eastAsia="en-GB"/>
                <w14:ligatures w14:val="none"/>
              </w:rPr>
              <w:t>16,105​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14:paraId="10763867" w14:textId="77777777" w:rsidR="00EF2211" w:rsidRPr="00EF2211" w:rsidRDefault="00EF2211" w:rsidP="00EF2211">
            <w:pPr>
              <w:spacing w:before="100" w:beforeAutospacing="1" w:after="100" w:afterAutospacing="1" w:line="240" w:lineRule="auto"/>
              <w:jc w:val="center"/>
              <w:textAlignment w:val="baseline"/>
              <w:rPr>
                <w:rFonts w:ascii="Times New Roman" w:eastAsia="Times New Roman" w:hAnsi="Times New Roman" w:cs="Times New Roman"/>
                <w:color w:val="000000"/>
                <w:kern w:val="0"/>
                <w:lang w:val="en-US" w:eastAsia="en-GB"/>
                <w14:ligatures w14:val="none"/>
              </w:rPr>
            </w:pPr>
            <w:r w:rsidRPr="00EF2211">
              <w:rPr>
                <w:rFonts w:ascii="Calibri" w:eastAsia="Times New Roman" w:hAnsi="Calibri" w:cs="Calibri"/>
                <w:b/>
                <w:bCs/>
                <w:color w:val="000000"/>
                <w:kern w:val="0"/>
                <w:lang w:val="en-US" w:eastAsia="en-GB"/>
                <w14:ligatures w14:val="none"/>
              </w:rPr>
              <w:t>​27,955</w:t>
            </w:r>
            <w:r w:rsidRPr="00EF2211">
              <w:rPr>
                <w:rFonts w:ascii="Calibri" w:eastAsia="Times New Roman" w:hAnsi="Calibri" w:cs="Calibri"/>
                <w:color w:val="000000"/>
                <w:kern w:val="0"/>
                <w:lang w:val="en-US" w:eastAsia="en-GB"/>
                <w14:ligatures w14:val="none"/>
              </w:rPr>
              <w:t>​</w:t>
            </w:r>
          </w:p>
        </w:tc>
      </w:tr>
    </w:tbl>
    <w:p w14:paraId="39BAF561" w14:textId="709C7821" w:rsidR="00EF2211" w:rsidRDefault="00EF2211" w:rsidP="0018068C">
      <w:pPr>
        <w:pStyle w:val="Heading4"/>
        <w:rPr>
          <w:b/>
          <w:bCs/>
          <w:i w:val="0"/>
          <w:iCs w:val="0"/>
          <w:color w:val="auto"/>
        </w:rPr>
      </w:pPr>
      <w:r w:rsidRPr="00EF2211">
        <w:rPr>
          <w:b/>
          <w:bCs/>
          <w:i w:val="0"/>
          <w:iCs w:val="0"/>
          <w:color w:val="auto"/>
        </w:rPr>
        <w:t>Table 6</w:t>
      </w:r>
      <w:r w:rsidRPr="00F93F16">
        <w:rPr>
          <w:b/>
          <w:bCs/>
          <w:i w:val="0"/>
          <w:iCs w:val="0"/>
          <w:color w:val="auto"/>
        </w:rPr>
        <w:t xml:space="preserve">: </w:t>
      </w:r>
      <w:r w:rsidR="00F93F16" w:rsidRPr="00F93F16">
        <w:rPr>
          <w:b/>
          <w:bCs/>
          <w:i w:val="0"/>
          <w:iCs w:val="0"/>
          <w:color w:val="auto"/>
        </w:rPr>
        <w:t xml:space="preserve">Sheffield estimates for </w:t>
      </w:r>
      <w:r w:rsidR="00F93F16">
        <w:rPr>
          <w:b/>
          <w:bCs/>
          <w:i w:val="0"/>
          <w:iCs w:val="0"/>
          <w:color w:val="auto"/>
        </w:rPr>
        <w:t xml:space="preserve">harassment including sexual harassment. </w:t>
      </w:r>
    </w:p>
    <w:p w14:paraId="4734995D" w14:textId="4F4546A2" w:rsidR="003A4914" w:rsidRDefault="001B65AF" w:rsidP="00C754D6">
      <w:pPr>
        <w:rPr>
          <w:b/>
          <w:bCs/>
        </w:rPr>
      </w:pPr>
      <w:r>
        <w:rPr>
          <w:b/>
          <w:bCs/>
        </w:rPr>
        <w:br/>
      </w:r>
      <w:r w:rsidR="00380200" w:rsidRPr="000564FE">
        <w:rPr>
          <w:b/>
          <w:bCs/>
        </w:rPr>
        <w:t xml:space="preserve">By using CSEW data it is estimated that over 20,000 </w:t>
      </w:r>
      <w:r w:rsidR="000564FE" w:rsidRPr="000564FE">
        <w:rPr>
          <w:b/>
          <w:bCs/>
        </w:rPr>
        <w:t xml:space="preserve">people in Sheffield, the majority women, have experienced sexual harassment within the last 12 months. </w:t>
      </w:r>
    </w:p>
    <w:p w14:paraId="611FC0C8" w14:textId="77777777" w:rsidR="0023632D" w:rsidRDefault="00EA5D8D" w:rsidP="00C754D6">
      <w:r>
        <w:t>The CSEW revealed that t</w:t>
      </w:r>
      <w:r w:rsidRPr="00EA5D8D">
        <w:t>he likelihood of experiencing sexual harassment was highest among younger age groups. This was particularly the case for women, with 23% of those aged 16 to 24 and 16% of those aged 25 to 34 experiencing some form of sexual harassment in the previous year compared with 5% of those aged 35 and over</w:t>
      </w:r>
      <w:r w:rsidR="0023632D">
        <w:t>.</w:t>
      </w:r>
    </w:p>
    <w:p w14:paraId="1B0AD5A4" w14:textId="6CED6548" w:rsidR="0023632D" w:rsidRPr="007550BB" w:rsidRDefault="0023632D" w:rsidP="0023632D">
      <w:pPr>
        <w:rPr>
          <w:b/>
          <w:bCs/>
          <w:lang w:val="en-US"/>
        </w:rPr>
      </w:pPr>
      <w:r w:rsidRPr="007550BB">
        <w:rPr>
          <w:lang w:val="en-US"/>
        </w:rPr>
        <w:t xml:space="preserve">Due to the student population Sheffield has a </w:t>
      </w:r>
      <w:r>
        <w:rPr>
          <w:lang w:val="en-US"/>
        </w:rPr>
        <w:t xml:space="preserve">population </w:t>
      </w:r>
      <w:r w:rsidRPr="007550BB">
        <w:rPr>
          <w:lang w:val="en-US"/>
        </w:rPr>
        <w:t>bulge in this age group. According to the most recent census data there are approximately</w:t>
      </w:r>
      <w:r>
        <w:rPr>
          <w:lang w:val="en-US"/>
        </w:rPr>
        <w:t xml:space="preserve"> </w:t>
      </w:r>
      <w:r w:rsidRPr="007550BB">
        <w:rPr>
          <w:lang w:val="en-US"/>
        </w:rPr>
        <w:t>45,145 women between the age of 16-24 in Sheffield​</w:t>
      </w:r>
      <w:r>
        <w:rPr>
          <w:lang w:val="en-US"/>
        </w:rPr>
        <w:t xml:space="preserve">. </w:t>
      </w:r>
    </w:p>
    <w:p w14:paraId="09B2AD74" w14:textId="1059BF59" w:rsidR="0023632D" w:rsidRDefault="0023632D" w:rsidP="0023632D">
      <w:pPr>
        <w:rPr>
          <w:b/>
          <w:bCs/>
          <w:lang w:val="en-US"/>
        </w:rPr>
      </w:pPr>
      <w:r w:rsidRPr="007550BB">
        <w:rPr>
          <w:lang w:val="en-US"/>
        </w:rPr>
        <w:t>​</w:t>
      </w:r>
      <w:r w:rsidR="009550D1" w:rsidRPr="007550BB">
        <w:rPr>
          <w:b/>
          <w:bCs/>
          <w:lang w:val="en-US"/>
        </w:rPr>
        <w:t>Therefore,</w:t>
      </w:r>
      <w:r w:rsidR="009550D1">
        <w:rPr>
          <w:b/>
          <w:bCs/>
          <w:lang w:val="en-US"/>
        </w:rPr>
        <w:t xml:space="preserve"> using CSEW estimates</w:t>
      </w:r>
      <w:r w:rsidRPr="007550BB">
        <w:rPr>
          <w:b/>
          <w:bCs/>
          <w:lang w:val="en-US"/>
        </w:rPr>
        <w:t xml:space="preserve">, </w:t>
      </w:r>
      <w:r w:rsidR="009550D1">
        <w:rPr>
          <w:b/>
          <w:bCs/>
          <w:lang w:val="en-US"/>
        </w:rPr>
        <w:t>we can estimate that</w:t>
      </w:r>
      <w:r w:rsidRPr="007550BB">
        <w:rPr>
          <w:b/>
          <w:bCs/>
          <w:lang w:val="en-US"/>
        </w:rPr>
        <w:t> 10,383 </w:t>
      </w:r>
      <w:r w:rsidRPr="007550BB">
        <w:rPr>
          <w:lang w:val="en-US"/>
        </w:rPr>
        <w:t>​</w:t>
      </w:r>
      <w:r>
        <w:rPr>
          <w:lang w:val="en-US"/>
        </w:rPr>
        <w:t xml:space="preserve"> </w:t>
      </w:r>
      <w:r w:rsidRPr="007550BB">
        <w:rPr>
          <w:b/>
          <w:bCs/>
          <w:lang w:val="en-US"/>
        </w:rPr>
        <w:t>16–24-year-old women in Sheffield have experienced sexual harassment in the last year.</w:t>
      </w:r>
    </w:p>
    <w:p w14:paraId="74DF0048" w14:textId="15674BD1" w:rsidR="008633FE" w:rsidRPr="0023632D" w:rsidRDefault="00091E8C" w:rsidP="00C754D6">
      <w:r>
        <w:t>The most common location of in-person harassment took place</w:t>
      </w:r>
      <w:r w:rsidR="00BB1442">
        <w:t xml:space="preserve"> was</w:t>
      </w:r>
      <w:r>
        <w:t xml:space="preserve"> in public, </w:t>
      </w:r>
      <w:r w:rsidR="00BB1442">
        <w:t xml:space="preserve">which was true of 75% of those who had experienced sexual harassment. </w:t>
      </w:r>
      <w:r w:rsidR="008D2027">
        <w:t xml:space="preserve">27% </w:t>
      </w:r>
      <w:r w:rsidR="006112F6">
        <w:t xml:space="preserve">had experienced sexual harassment in the workplace and </w:t>
      </w:r>
      <w:r w:rsidR="00AA24FD">
        <w:t xml:space="preserve">19% had experienced sexual harassment on public transport. </w:t>
      </w:r>
    </w:p>
    <w:p w14:paraId="27BCF396" w14:textId="1B3CACFA" w:rsidR="00DA3EC0" w:rsidRDefault="00696E20" w:rsidP="00AA24FD">
      <w:pPr>
        <w:pStyle w:val="Style2"/>
        <w:rPr>
          <w:lang w:val="en-US"/>
        </w:rPr>
      </w:pPr>
      <w:r>
        <w:rPr>
          <w:lang w:val="en-US"/>
        </w:rPr>
        <w:t xml:space="preserve">Estimates from </w:t>
      </w:r>
      <w:r w:rsidR="004B7F54">
        <w:rPr>
          <w:lang w:val="en-US"/>
        </w:rPr>
        <w:t>the UK Government Sexual Harassment Survey 2020</w:t>
      </w:r>
      <w:r>
        <w:rPr>
          <w:lang w:val="en-US"/>
        </w:rPr>
        <w:t>:</w:t>
      </w:r>
    </w:p>
    <w:p w14:paraId="0E81A78B" w14:textId="6D00A988" w:rsidR="003A2BA6" w:rsidRDefault="00554F39" w:rsidP="00696E20">
      <w:r>
        <w:t xml:space="preserve">A dedicated and comprehensive sexual harassment survey developed by the UK Government </w:t>
      </w:r>
      <w:r w:rsidR="003A2BA6">
        <w:t xml:space="preserve">was published in 2020 and the following estimates are </w:t>
      </w:r>
      <w:r w:rsidR="004B7F54">
        <w:t>elaborated on below.</w:t>
      </w:r>
      <w:r w:rsidR="004B7F54">
        <w:rPr>
          <w:rStyle w:val="FootnoteReference"/>
        </w:rPr>
        <w:footnoteReference w:id="34"/>
      </w:r>
    </w:p>
    <w:p w14:paraId="6AF5CDFD" w14:textId="20673D5C" w:rsidR="00696E20" w:rsidRDefault="004B7F54" w:rsidP="00696E20">
      <w:r>
        <w:t xml:space="preserve">This survey </w:t>
      </w:r>
      <w:r w:rsidR="00554F39">
        <w:t xml:space="preserve">found that </w:t>
      </w:r>
      <w:r w:rsidR="00696E20" w:rsidRPr="00696E20">
        <w:t xml:space="preserve">72% of the UK population experienced at least one form of sexual harassment in their lifetime, while </w:t>
      </w:r>
      <w:r w:rsidR="00554F39">
        <w:t>43%</w:t>
      </w:r>
      <w:r w:rsidR="00696E20" w:rsidRPr="00696E20">
        <w:t xml:space="preserve"> experienced at least one sexual harassment behaviour in the last 12 months</w:t>
      </w:r>
      <w:r w:rsidR="00554F39">
        <w:t xml:space="preserve">. </w:t>
      </w:r>
      <w:r w:rsidR="00897444">
        <w:t xml:space="preserve">This estimate is </w:t>
      </w:r>
      <w:r w:rsidR="00504FC4">
        <w:t xml:space="preserve">significantly </w:t>
      </w:r>
      <w:r w:rsidR="00897444">
        <w:t xml:space="preserve">higher than the CSEW estimate for </w:t>
      </w:r>
      <w:r w:rsidR="00842CAC">
        <w:t xml:space="preserve">sexual harassment in the last 12 months. </w:t>
      </w:r>
    </w:p>
    <w:p w14:paraId="22EB0AE9" w14:textId="54656D82" w:rsidR="00842CAC" w:rsidRPr="00842CAC" w:rsidRDefault="00712314" w:rsidP="00696E20">
      <w:pPr>
        <w:rPr>
          <w:b/>
          <w:bCs/>
        </w:rPr>
      </w:pPr>
      <w:r>
        <w:rPr>
          <w:b/>
          <w:bCs/>
        </w:rPr>
        <w:t>If we were to use</w:t>
      </w:r>
      <w:r w:rsidR="00D12E25">
        <w:rPr>
          <w:b/>
          <w:bCs/>
        </w:rPr>
        <w:t xml:space="preserve"> this estimate for sexual harassment in the last year and apply it to the Sheffield </w:t>
      </w:r>
      <w:r w:rsidR="00BE1A8E">
        <w:rPr>
          <w:b/>
          <w:bCs/>
        </w:rPr>
        <w:t>population,</w:t>
      </w:r>
      <w:r w:rsidR="00D12E25">
        <w:rPr>
          <w:b/>
          <w:bCs/>
        </w:rPr>
        <w:t xml:space="preserve"> we get an estimate that </w:t>
      </w:r>
      <w:r>
        <w:rPr>
          <w:b/>
          <w:bCs/>
        </w:rPr>
        <w:t>179,410 people</w:t>
      </w:r>
      <w:r w:rsidR="00D12E25">
        <w:rPr>
          <w:b/>
          <w:bCs/>
        </w:rPr>
        <w:t xml:space="preserve"> </w:t>
      </w:r>
      <w:r w:rsidR="00842CAC" w:rsidRPr="000564FE">
        <w:rPr>
          <w:b/>
          <w:bCs/>
        </w:rPr>
        <w:t xml:space="preserve">in Sheffield, the majority women, have experienced sexual harassment within the last 12 months. </w:t>
      </w:r>
    </w:p>
    <w:p w14:paraId="6E58E73F" w14:textId="7B89452B" w:rsidR="00696E20" w:rsidRDefault="007A4A44" w:rsidP="00683B28">
      <w:r>
        <w:t>W</w:t>
      </w:r>
      <w:r w:rsidRPr="007A4A44">
        <w:t>omen, young people (</w:t>
      </w:r>
      <w:r>
        <w:t>under 35</w:t>
      </w:r>
      <w:r w:rsidRPr="007A4A44">
        <w:t>), ethnic minorities</w:t>
      </w:r>
      <w:r>
        <w:t xml:space="preserve">, </w:t>
      </w:r>
      <w:r w:rsidRPr="007A4A44">
        <w:t>LGB individuals, and those with disabilities</w:t>
      </w:r>
      <w:r>
        <w:t xml:space="preserve"> were significantly more likely to experience sexual harassment within the last 12 months. </w:t>
      </w:r>
      <w:r w:rsidR="00BE449B">
        <w:t xml:space="preserve">75% believed that their identity was a factor in their harassment. </w:t>
      </w:r>
    </w:p>
    <w:p w14:paraId="272A99D9" w14:textId="0F42DB8D" w:rsidR="00683B28" w:rsidRDefault="00683B28" w:rsidP="00683B28">
      <w:r>
        <w:t xml:space="preserve">The data from this survey support those of the CSEW showing that </w:t>
      </w:r>
      <w:r w:rsidR="00030D0F">
        <w:t>public spaces were</w:t>
      </w:r>
      <w:r w:rsidR="00C15A29">
        <w:t xml:space="preserve"> the most common location of sexual harassment</w:t>
      </w:r>
      <w:r w:rsidR="00CB7A1E">
        <w:t xml:space="preserve">, </w:t>
      </w:r>
      <w:r w:rsidR="00CB7A1E" w:rsidRPr="00CB7A1E">
        <w:t>42%</w:t>
      </w:r>
      <w:r w:rsidR="00CB7A1E">
        <w:t xml:space="preserve"> had experienced sexual harassment on the street, 31%</w:t>
      </w:r>
      <w:r w:rsidR="00CB7A1E" w:rsidRPr="00CB7A1E">
        <w:t xml:space="preserve"> in a club, pub or bar </w:t>
      </w:r>
      <w:r w:rsidR="00CB7A1E">
        <w:t xml:space="preserve">and 28% on </w:t>
      </w:r>
      <w:r w:rsidR="00CB7A1E" w:rsidRPr="00CB7A1E">
        <w:t>public transportation</w:t>
      </w:r>
      <w:r w:rsidR="00CB7A1E">
        <w:t xml:space="preserve">. </w:t>
      </w:r>
    </w:p>
    <w:p w14:paraId="6558BB7B" w14:textId="20C9AEE3" w:rsidR="00696E20" w:rsidRPr="004B7F54" w:rsidRDefault="0028353B" w:rsidP="004B7F54">
      <w:r>
        <w:t xml:space="preserve">This survey found that </w:t>
      </w:r>
      <w:r w:rsidRPr="0028353B">
        <w:t>29% of those in employment experienced some form of sexual harassment in their workplace or work-related environment in the last 12 months</w:t>
      </w:r>
      <w:r>
        <w:t>.</w:t>
      </w:r>
      <w:r w:rsidR="0005108B">
        <w:t xml:space="preserve"> This is a similar proportion to the CSEW.</w:t>
      </w:r>
      <w:r>
        <w:t xml:space="preserve"> Men were almost as likely to experience sexual harassment as women in the workplace</w:t>
      </w:r>
      <w:r w:rsidR="003B4028">
        <w:t xml:space="preserve">, but most frequently the perpetrator was reported to be a man (63%) rather than a woman (22%). </w:t>
      </w:r>
      <w:r w:rsidR="00ED57F2">
        <w:t>Those who are LGB and disabled, and those under 35 were more likely to experience sexual harassment at work.</w:t>
      </w:r>
    </w:p>
    <w:p w14:paraId="5C9D0635" w14:textId="1C6D4A02" w:rsidR="00AA24FD" w:rsidRDefault="00AA24FD" w:rsidP="00AA24FD">
      <w:pPr>
        <w:pStyle w:val="Style2"/>
        <w:rPr>
          <w:lang w:val="en-US"/>
        </w:rPr>
      </w:pPr>
      <w:r>
        <w:rPr>
          <w:lang w:val="en-US"/>
        </w:rPr>
        <w:t>Additional sources of sexual harassment data:</w:t>
      </w:r>
    </w:p>
    <w:p w14:paraId="2E1ED7F7" w14:textId="609104E3" w:rsidR="00AA24FD" w:rsidRDefault="00DA3EC0" w:rsidP="00AA24FD">
      <w:pPr>
        <w:pStyle w:val="Style2"/>
        <w:rPr>
          <w:b w:val="0"/>
          <w:bCs w:val="0"/>
          <w:lang w:val="en-US"/>
        </w:rPr>
      </w:pPr>
      <w:r>
        <w:rPr>
          <w:b w:val="0"/>
          <w:bCs w:val="0"/>
          <w:lang w:val="en-US"/>
        </w:rPr>
        <w:t xml:space="preserve">Workplace </w:t>
      </w:r>
      <w:r w:rsidR="009835E5">
        <w:rPr>
          <w:b w:val="0"/>
          <w:bCs w:val="0"/>
          <w:lang w:val="en-US"/>
        </w:rPr>
        <w:t xml:space="preserve">sexual </w:t>
      </w:r>
      <w:r>
        <w:rPr>
          <w:b w:val="0"/>
          <w:bCs w:val="0"/>
          <w:lang w:val="en-US"/>
        </w:rPr>
        <w:t>harassment:</w:t>
      </w:r>
    </w:p>
    <w:p w14:paraId="01BCE696" w14:textId="57952DBE" w:rsidR="00DA3EC0" w:rsidRDefault="00B07BE0" w:rsidP="00DA3EC0">
      <w:r>
        <w:rPr>
          <w:lang w:val="en-US"/>
        </w:rPr>
        <w:t>Research</w:t>
      </w:r>
      <w:r w:rsidR="00865F22">
        <w:rPr>
          <w:lang w:val="en-US"/>
        </w:rPr>
        <w:t xml:space="preserve"> from 2016</w:t>
      </w:r>
      <w:r>
        <w:rPr>
          <w:lang w:val="en-US"/>
        </w:rPr>
        <w:t xml:space="preserve"> by the Trades Union Council showed that </w:t>
      </w:r>
      <w:r>
        <w:t>63%</w:t>
      </w:r>
      <w:r w:rsidRPr="00B07BE0">
        <w:t xml:space="preserve"> of women aged 18–24 had experienced some form of sexual harassment </w:t>
      </w:r>
      <w:r w:rsidR="00D253B7">
        <w:t xml:space="preserve">in the workplace </w:t>
      </w:r>
      <w:r w:rsidRPr="00B07BE0">
        <w:t xml:space="preserve">compared to an average of </w:t>
      </w:r>
      <w:r>
        <w:t xml:space="preserve">52% </w:t>
      </w:r>
      <w:r w:rsidRPr="00B07BE0">
        <w:t>women of all ages</w:t>
      </w:r>
      <w:r w:rsidR="003E4B0E">
        <w:t xml:space="preserve">. </w:t>
      </w:r>
      <w:r w:rsidR="00D253B7">
        <w:rPr>
          <w:rStyle w:val="FootnoteReference"/>
        </w:rPr>
        <w:footnoteReference w:id="35"/>
      </w:r>
      <w:r w:rsidR="006F41BE">
        <w:rPr>
          <w:lang w:val="en-US"/>
        </w:rPr>
        <w:t xml:space="preserve"> Further p</w:t>
      </w:r>
      <w:r w:rsidR="00215315">
        <w:rPr>
          <w:lang w:val="en-US"/>
        </w:rPr>
        <w:t xml:space="preserve">olling in this area by the Trades Union Council has revealed that </w:t>
      </w:r>
      <w:r w:rsidR="00215315" w:rsidRPr="00215315">
        <w:t>43% women have experienced at least three incidents of sexual harassment</w:t>
      </w:r>
      <w:r w:rsidR="00215315">
        <w:t xml:space="preserve"> in the workplace. </w:t>
      </w:r>
    </w:p>
    <w:p w14:paraId="15120AD2" w14:textId="4E79B7B5" w:rsidR="006F41BE" w:rsidRDefault="00574C8C" w:rsidP="00DA3EC0">
      <w:pPr>
        <w:rPr>
          <w:lang w:val="en-US"/>
        </w:rPr>
      </w:pPr>
      <w:r>
        <w:rPr>
          <w:lang w:val="en-US"/>
        </w:rPr>
        <w:t>TUC data also reveals that different intersecting identities compound the experience of sexual harassment:</w:t>
      </w:r>
    </w:p>
    <w:p w14:paraId="6D305B86" w14:textId="14ADB701" w:rsidR="00574C8C" w:rsidRDefault="00574C8C" w:rsidP="00B67805">
      <w:pPr>
        <w:pStyle w:val="ListParagraph"/>
        <w:numPr>
          <w:ilvl w:val="0"/>
          <w:numId w:val="29"/>
        </w:numPr>
      </w:pPr>
      <w:r w:rsidRPr="00574C8C">
        <w:t>68% lesbian, gay, bisexual and trans (LGBT) people have been sexually harassed at work</w:t>
      </w:r>
      <w:r w:rsidR="00C36F62">
        <w:t>. But LGBT women most likely to experience</w:t>
      </w:r>
      <w:r w:rsidR="00C36F62" w:rsidRPr="00C36F62">
        <w:t xml:space="preserve"> instances of unwanted touching, sexual assault and rape at work</w:t>
      </w:r>
      <w:r w:rsidRPr="00574C8C">
        <w:t>.</w:t>
      </w:r>
      <w:r w:rsidR="0069205D">
        <w:t xml:space="preserve"> 66% did not report the incident</w:t>
      </w:r>
      <w:r w:rsidR="00E4242C">
        <w:t xml:space="preserve">, and </w:t>
      </w:r>
      <w:r w:rsidR="00650576">
        <w:t>the majority were not satisfied with the response if they did.</w:t>
      </w:r>
      <w:r w:rsidR="003C038A">
        <w:t xml:space="preserve"> </w:t>
      </w:r>
      <w:r w:rsidR="003A1473">
        <w:rPr>
          <w:rStyle w:val="FootnoteReference"/>
        </w:rPr>
        <w:footnoteReference w:id="36"/>
      </w:r>
    </w:p>
    <w:p w14:paraId="00E50B3D" w14:textId="587755BF" w:rsidR="00FE2701" w:rsidRDefault="00AE1DA5" w:rsidP="00B67805">
      <w:pPr>
        <w:pStyle w:val="ListParagraph"/>
        <w:numPr>
          <w:ilvl w:val="0"/>
          <w:numId w:val="29"/>
        </w:numPr>
      </w:pPr>
      <w:r>
        <w:t>68% of d</w:t>
      </w:r>
      <w:r w:rsidR="004E23F3">
        <w:t xml:space="preserve">isabled women </w:t>
      </w:r>
      <w:r>
        <w:t xml:space="preserve">had </w:t>
      </w:r>
      <w:r w:rsidR="004E23F3" w:rsidRPr="004E23F3">
        <w:t>been sexually harassed at work</w:t>
      </w:r>
      <w:r w:rsidR="00FC35C5">
        <w:t>. 66% did not report the incident</w:t>
      </w:r>
      <w:r w:rsidR="00912211">
        <w:t>, and 53% of those who did report were not satisfied with the response</w:t>
      </w:r>
      <w:r w:rsidR="003C038A">
        <w:t>.</w:t>
      </w:r>
      <w:r w:rsidR="00912211">
        <w:t xml:space="preserve"> </w:t>
      </w:r>
      <w:r>
        <w:rPr>
          <w:rStyle w:val="FootnoteReference"/>
        </w:rPr>
        <w:footnoteReference w:id="37"/>
      </w:r>
    </w:p>
    <w:p w14:paraId="74534B99" w14:textId="5496ABC4" w:rsidR="00AC6281" w:rsidRDefault="00AC6281" w:rsidP="00B67805">
      <w:pPr>
        <w:pStyle w:val="ListParagraph"/>
        <w:numPr>
          <w:ilvl w:val="0"/>
          <w:numId w:val="29"/>
        </w:numPr>
      </w:pPr>
      <w:r w:rsidRPr="00AC6281">
        <w:t>37</w:t>
      </w:r>
      <w:r>
        <w:t xml:space="preserve">% </w:t>
      </w:r>
      <w:r w:rsidRPr="00AC6281">
        <w:t xml:space="preserve">of BME women state race </w:t>
      </w:r>
      <w:r w:rsidRPr="00427864">
        <w:rPr>
          <w:b/>
          <w:bCs/>
        </w:rPr>
        <w:t>and</w:t>
      </w:r>
      <w:r w:rsidRPr="00AC6281">
        <w:t xml:space="preserve"> gender as the reason for experiencing verbal abuse. </w:t>
      </w:r>
      <w:r w:rsidR="00AE273C">
        <w:rPr>
          <w:rStyle w:val="FootnoteReference"/>
        </w:rPr>
        <w:footnoteReference w:id="38"/>
      </w:r>
    </w:p>
    <w:p w14:paraId="044D1026" w14:textId="08764E80" w:rsidR="008F2941" w:rsidRDefault="0051159D" w:rsidP="008F2941">
      <w:r>
        <w:t xml:space="preserve">Other trade unions have conducted sector specific research into workplace sexual harassment. </w:t>
      </w:r>
      <w:r w:rsidR="00C82796">
        <w:t>Survey results of over 12,000 healthcare staff</w:t>
      </w:r>
      <w:r w:rsidR="008F2941">
        <w:t xml:space="preserve"> by the trade union Unison</w:t>
      </w:r>
      <w:r w:rsidR="002162B7">
        <w:t xml:space="preserve"> revealed that 10% of NHS staff experienced sexual harassment at work</w:t>
      </w:r>
      <w:r w:rsidR="00FD52F9">
        <w:t>, and s</w:t>
      </w:r>
      <w:r w:rsidRPr="0051159D">
        <w:t xml:space="preserve">exual assault was reported by </w:t>
      </w:r>
      <w:r>
        <w:t xml:space="preserve">29% </w:t>
      </w:r>
      <w:r w:rsidRPr="0051159D">
        <w:t>of all the health workers who’d experienced sexual harassment.</w:t>
      </w:r>
      <w:r>
        <w:t xml:space="preserve"> </w:t>
      </w:r>
      <w:r w:rsidR="003A08E6">
        <w:rPr>
          <w:rStyle w:val="FootnoteReference"/>
        </w:rPr>
        <w:footnoteReference w:id="39"/>
      </w:r>
      <w:r w:rsidR="00B620DE">
        <w:t xml:space="preserve">  </w:t>
      </w:r>
    </w:p>
    <w:p w14:paraId="4DBFDEB3" w14:textId="0C6A81F9" w:rsidR="00B620DE" w:rsidRDefault="009B381B" w:rsidP="008F2941">
      <w:r>
        <w:t xml:space="preserve">Research </w:t>
      </w:r>
      <w:r w:rsidR="00BB13B5">
        <w:t xml:space="preserve">by Sheffield Hallam University </w:t>
      </w:r>
      <w:r>
        <w:t>h</w:t>
      </w:r>
      <w:r w:rsidR="00BB13B5">
        <w:t xml:space="preserve">as shown that those on precarious contracts are </w:t>
      </w:r>
      <w:r w:rsidR="00D137E9">
        <w:t xml:space="preserve">60% </w:t>
      </w:r>
      <w:r w:rsidR="00BB13B5">
        <w:t xml:space="preserve">more likely </w:t>
      </w:r>
      <w:r w:rsidR="00D137E9" w:rsidRPr="00D137E9">
        <w:t>to report being a victim of sexual harassment</w:t>
      </w:r>
      <w:r w:rsidR="00F24306">
        <w:t xml:space="preserve">, with the </w:t>
      </w:r>
      <w:r w:rsidR="00F24306" w:rsidRPr="00F24306">
        <w:t xml:space="preserve">hospitality workforce </w:t>
      </w:r>
      <w:r w:rsidR="00F24306">
        <w:t xml:space="preserve">being </w:t>
      </w:r>
      <w:r w:rsidR="00F24306" w:rsidRPr="00F24306">
        <w:t>disproportionately young, female, from a minoritised background, on zero-hours contracts and on the lowest rates of pay.</w:t>
      </w:r>
      <w:r w:rsidR="00AD7DA4">
        <w:t xml:space="preserve"> </w:t>
      </w:r>
      <w:r w:rsidR="00AD7DA4">
        <w:rPr>
          <w:rStyle w:val="FootnoteReference"/>
        </w:rPr>
        <w:footnoteReference w:id="40"/>
      </w:r>
    </w:p>
    <w:p w14:paraId="0DF5454C" w14:textId="22CC0AA6" w:rsidR="00DA3EC0" w:rsidRDefault="009835E5" w:rsidP="00AA24FD">
      <w:pPr>
        <w:pStyle w:val="Style2"/>
        <w:rPr>
          <w:b w:val="0"/>
          <w:bCs w:val="0"/>
          <w:lang w:val="en-US"/>
        </w:rPr>
      </w:pPr>
      <w:r>
        <w:rPr>
          <w:b w:val="0"/>
          <w:bCs w:val="0"/>
          <w:lang w:val="en-US"/>
        </w:rPr>
        <w:t>Sexual harassment in education:</w:t>
      </w:r>
    </w:p>
    <w:p w14:paraId="74C3DE1D" w14:textId="19EF5156" w:rsidR="00643B77" w:rsidRDefault="00F73606" w:rsidP="00643B77">
      <w:pPr>
        <w:rPr>
          <w:lang w:val="en-US"/>
        </w:rPr>
      </w:pPr>
      <w:r>
        <w:rPr>
          <w:lang w:val="en-US"/>
        </w:rPr>
        <w:t xml:space="preserve">Research has shown that sexual harassment is rife </w:t>
      </w:r>
      <w:r w:rsidR="00AD699E">
        <w:rPr>
          <w:lang w:val="en-US"/>
        </w:rPr>
        <w:t>within</w:t>
      </w:r>
      <w:r>
        <w:rPr>
          <w:lang w:val="en-US"/>
        </w:rPr>
        <w:t xml:space="preserve"> </w:t>
      </w:r>
      <w:r w:rsidR="00AD699E">
        <w:rPr>
          <w:lang w:val="en-US"/>
        </w:rPr>
        <w:t>education in the UK.</w:t>
      </w:r>
      <w:r w:rsidR="00EF6266">
        <w:rPr>
          <w:lang w:val="en-US"/>
        </w:rPr>
        <w:t xml:space="preserve"> </w:t>
      </w:r>
      <w:r w:rsidR="0088253D">
        <w:rPr>
          <w:lang w:val="en-US"/>
        </w:rPr>
        <w:t xml:space="preserve">A 2021 Ofsted Rapid Review of sexual abuse in </w:t>
      </w:r>
      <w:r w:rsidR="00E83296">
        <w:rPr>
          <w:lang w:val="en-US"/>
        </w:rPr>
        <w:t>schools and colleges found that</w:t>
      </w:r>
      <w:r w:rsidR="002A173C">
        <w:rPr>
          <w:rStyle w:val="FootnoteReference"/>
          <w:lang w:val="en-US"/>
        </w:rPr>
        <w:footnoteReference w:id="41"/>
      </w:r>
      <w:r w:rsidR="00643B77">
        <w:rPr>
          <w:lang w:val="en-US"/>
        </w:rPr>
        <w:t>:</w:t>
      </w:r>
    </w:p>
    <w:p w14:paraId="203CAA54" w14:textId="1AC32F36" w:rsidR="002A173C" w:rsidRDefault="002A173C" w:rsidP="00B67805">
      <w:pPr>
        <w:pStyle w:val="ListParagraph"/>
        <w:numPr>
          <w:ilvl w:val="0"/>
          <w:numId w:val="31"/>
        </w:numPr>
      </w:pPr>
      <w:r>
        <w:t>92% of girls had experienced sexist name calling</w:t>
      </w:r>
    </w:p>
    <w:p w14:paraId="36E90DAA" w14:textId="1ABEAE98" w:rsidR="00643B77" w:rsidRDefault="00643B77" w:rsidP="00B67805">
      <w:pPr>
        <w:pStyle w:val="ListParagraph"/>
        <w:numPr>
          <w:ilvl w:val="0"/>
          <w:numId w:val="31"/>
        </w:numPr>
      </w:pPr>
      <w:r>
        <w:t xml:space="preserve">80% of girls had experienced </w:t>
      </w:r>
      <w:r w:rsidRPr="00643B77">
        <w:t>unwanted or inappropriate comments of a sexual nature</w:t>
      </w:r>
    </w:p>
    <w:p w14:paraId="4F95A801" w14:textId="73CFF1B9" w:rsidR="002A173C" w:rsidRDefault="00E6426E" w:rsidP="00B67805">
      <w:pPr>
        <w:pStyle w:val="ListParagraph"/>
        <w:numPr>
          <w:ilvl w:val="0"/>
          <w:numId w:val="31"/>
        </w:numPr>
      </w:pPr>
      <w:r>
        <w:t>79% of girls had experienced sexual assault of any kind</w:t>
      </w:r>
    </w:p>
    <w:p w14:paraId="4A71929E" w14:textId="762C2B91" w:rsidR="004F01B5" w:rsidRDefault="0046605A" w:rsidP="000443BB">
      <w:r>
        <w:t xml:space="preserve">A </w:t>
      </w:r>
      <w:r w:rsidR="00866459">
        <w:t>2024</w:t>
      </w:r>
      <w:r>
        <w:t xml:space="preserve"> survey by Unison of school support staff </w:t>
      </w:r>
      <w:r w:rsidR="00866459">
        <w:t xml:space="preserve">found that </w:t>
      </w:r>
      <w:r w:rsidR="00866459" w:rsidRPr="00866459">
        <w:t>15%</w:t>
      </w:r>
      <w:r w:rsidR="00866459">
        <w:t xml:space="preserve"> of</w:t>
      </w:r>
      <w:r w:rsidR="00866459" w:rsidRPr="00866459">
        <w:t xml:space="preserve"> respondents had witnessed sexual harassment in school in the last five years</w:t>
      </w:r>
      <w:r w:rsidR="00866459">
        <w:t xml:space="preserve">, rising to 25% in secondary schools. This was most often instigated by male students to female students and sometimes female staff. </w:t>
      </w:r>
      <w:r w:rsidR="00CA2580">
        <w:t xml:space="preserve">10% of female staff in secondary schools had experienced sexual harassment from male students. </w:t>
      </w:r>
      <w:r w:rsidR="00D64893">
        <w:rPr>
          <w:rStyle w:val="FootnoteReference"/>
        </w:rPr>
        <w:footnoteReference w:id="42"/>
      </w:r>
    </w:p>
    <w:p w14:paraId="14682602" w14:textId="3B4533EC" w:rsidR="004F01B5" w:rsidRDefault="004F01B5" w:rsidP="000443BB">
      <w:r>
        <w:t>In Sheffield</w:t>
      </w:r>
      <w:r w:rsidR="00AC24B9">
        <w:t>, in 2023 Learn Sheffield in part of their wider ‘Developing Healthy Attitudes’ wor</w:t>
      </w:r>
      <w:r w:rsidR="00221CDB">
        <w:t>k explored the sexual harassment experiences of young people Sheffield</w:t>
      </w:r>
      <w:r w:rsidR="008B101C">
        <w:t xml:space="preserve"> secondary schools</w:t>
      </w:r>
      <w:r w:rsidR="00221CDB">
        <w:t xml:space="preserve">. This qualitative piece of work </w:t>
      </w:r>
      <w:r w:rsidR="00C87ECD">
        <w:t xml:space="preserve">revealed the scale and normalisation of sexual harassment, reflecting wider society, </w:t>
      </w:r>
      <w:r w:rsidR="00FE0309">
        <w:t xml:space="preserve">and explored what young people saw as the factors behind it. </w:t>
      </w:r>
      <w:r w:rsidR="008B101C">
        <w:rPr>
          <w:rStyle w:val="FootnoteReference"/>
        </w:rPr>
        <w:footnoteReference w:id="43"/>
      </w:r>
    </w:p>
    <w:p w14:paraId="38C218D7" w14:textId="5536F9F0" w:rsidR="009835E5" w:rsidRDefault="00591CA2" w:rsidP="00591CA2">
      <w:r>
        <w:rPr>
          <w:lang w:val="en-US"/>
        </w:rPr>
        <w:t xml:space="preserve">At a higher education level the Office for Students, </w:t>
      </w:r>
      <w:r w:rsidR="00292EFD">
        <w:rPr>
          <w:lang w:val="en-US"/>
        </w:rPr>
        <w:t xml:space="preserve">the </w:t>
      </w:r>
      <w:r w:rsidR="00292EFD" w:rsidRPr="00292EFD">
        <w:t>independent regulator of higher education in England</w:t>
      </w:r>
      <w:r w:rsidR="00292EFD">
        <w:t>, has this year (</w:t>
      </w:r>
      <w:r w:rsidR="00D35220">
        <w:t xml:space="preserve">June </w:t>
      </w:r>
      <w:r w:rsidR="00292EFD">
        <w:t xml:space="preserve">2024) </w:t>
      </w:r>
      <w:r w:rsidR="00BE1D34">
        <w:t>introduced a condition of registration that requires institutions to set</w:t>
      </w:r>
      <w:r w:rsidR="00BE1D34" w:rsidRPr="00BE1D34">
        <w:t xml:space="preserve"> out how they will continue to tackle harassment and sexual misconduct that affects their students.</w:t>
      </w:r>
      <w:r w:rsidR="0048615B">
        <w:t xml:space="preserve"> </w:t>
      </w:r>
      <w:r w:rsidR="0048615B" w:rsidRPr="0048615B">
        <w:t>Universities will have until 1 August 2025 to implement the change</w:t>
      </w:r>
      <w:r w:rsidR="00967505">
        <w:t xml:space="preserve">. </w:t>
      </w:r>
    </w:p>
    <w:p w14:paraId="00409B9A" w14:textId="6C38F52E" w:rsidR="009E3EEC" w:rsidRDefault="00D35220" w:rsidP="00591CA2">
      <w:r>
        <w:t>Data from the University of Sheffield C</w:t>
      </w:r>
      <w:r w:rsidR="00F03A8F">
        <w:t xml:space="preserve">ampus Climate report for 2023 </w:t>
      </w:r>
      <w:r w:rsidR="00F94C15">
        <w:t xml:space="preserve">revealed that </w:t>
      </w:r>
      <w:r w:rsidR="00F94C15" w:rsidRPr="00F94C15">
        <w:t>6</w:t>
      </w:r>
      <w:r w:rsidR="00750BF5">
        <w:t>2</w:t>
      </w:r>
      <w:r w:rsidR="00F94C15" w:rsidRPr="00F94C15">
        <w:t xml:space="preserve">% of students </w:t>
      </w:r>
      <w:r w:rsidR="00F94C15">
        <w:t xml:space="preserve">that responded </w:t>
      </w:r>
      <w:r w:rsidR="00F94C15" w:rsidRPr="00F94C15">
        <w:t>had been subjected to sexual violence (SV) in the past year.</w:t>
      </w:r>
      <w:r w:rsidR="009D695C">
        <w:t xml:space="preserve"> With 45</w:t>
      </w:r>
      <w:r w:rsidR="00750BF5">
        <w:t>%</w:t>
      </w:r>
      <w:r w:rsidR="009D695C" w:rsidRPr="009D695C">
        <w:t xml:space="preserve"> </w:t>
      </w:r>
      <w:r w:rsidR="009E65B4">
        <w:t xml:space="preserve">having experienced sexual harassment: </w:t>
      </w:r>
      <w:r w:rsidR="00750BF5">
        <w:t>‘</w:t>
      </w:r>
      <w:r w:rsidR="009D695C" w:rsidRPr="009D695C">
        <w:t xml:space="preserve">someone making an inappropriate sexual comment to them/about </w:t>
      </w:r>
      <w:r w:rsidR="005E6404" w:rsidRPr="009D695C">
        <w:t>them or</w:t>
      </w:r>
      <w:r w:rsidR="009D695C" w:rsidRPr="009D695C">
        <w:t xml:space="preserve"> trying to talk about sex with them when they didn't want to</w:t>
      </w:r>
      <w:r w:rsidR="00750BF5">
        <w:t>’.</w:t>
      </w:r>
      <w:r w:rsidR="00274C0F">
        <w:t xml:space="preserve"> Female and non-binary students were more likely to experience sexual violence than male students. </w:t>
      </w:r>
      <w:r w:rsidR="00274C0F">
        <w:rPr>
          <w:rStyle w:val="FootnoteReference"/>
        </w:rPr>
        <w:footnoteReference w:id="44"/>
      </w:r>
      <w:r w:rsidR="009E3EEC">
        <w:t xml:space="preserve"> </w:t>
      </w:r>
    </w:p>
    <w:p w14:paraId="34AA6177" w14:textId="1AD1E415" w:rsidR="009E3EEC" w:rsidRDefault="009E3EEC" w:rsidP="00591CA2">
      <w:r>
        <w:t xml:space="preserve">No data was provided by Sheffield Hallam University for the purpose of this report. </w:t>
      </w:r>
    </w:p>
    <w:p w14:paraId="2B6930C9" w14:textId="6BD94275" w:rsidR="009835E5" w:rsidRDefault="009835E5" w:rsidP="00AA24FD">
      <w:pPr>
        <w:pStyle w:val="Style2"/>
        <w:rPr>
          <w:b w:val="0"/>
          <w:bCs w:val="0"/>
          <w:lang w:val="en-US"/>
        </w:rPr>
      </w:pPr>
      <w:r>
        <w:rPr>
          <w:b w:val="0"/>
          <w:bCs w:val="0"/>
          <w:lang w:val="en-US"/>
        </w:rPr>
        <w:t xml:space="preserve">Sexual harassment in public: </w:t>
      </w:r>
    </w:p>
    <w:p w14:paraId="001AB37B" w14:textId="54824ABE" w:rsidR="00F75133" w:rsidRDefault="00F75133" w:rsidP="00052DCD">
      <w:r>
        <w:t>Data from the CSEW showed that sexual harassment in a public place was the most common form of sexual harassment experienced</w:t>
      </w:r>
      <w:r w:rsidR="00866266">
        <w:t xml:space="preserve"> at 75%.</w:t>
      </w:r>
      <w:r w:rsidR="008D4F79">
        <w:rPr>
          <w:rStyle w:val="FootnoteReference"/>
        </w:rPr>
        <w:footnoteReference w:id="45"/>
      </w:r>
    </w:p>
    <w:p w14:paraId="32E937E3" w14:textId="0993C5E2" w:rsidR="0062356A" w:rsidRDefault="0004539D" w:rsidP="00052DCD">
      <w:r>
        <w:t>In a survey of girls and young women aged 12-21, P</w:t>
      </w:r>
      <w:r w:rsidR="0062356A">
        <w:t xml:space="preserve">lan International UK </w:t>
      </w:r>
      <w:r>
        <w:t>showed</w:t>
      </w:r>
      <w:r w:rsidR="0062356A">
        <w:t xml:space="preserve"> that </w:t>
      </w:r>
      <w:r w:rsidR="00BD1E47" w:rsidRPr="00BD1E47">
        <w:t>75%</w:t>
      </w:r>
      <w:r w:rsidR="00BD1E47">
        <w:t xml:space="preserve"> </w:t>
      </w:r>
      <w:r w:rsidR="00BD1E47" w:rsidRPr="00BD1E47">
        <w:t xml:space="preserve">of girls </w:t>
      </w:r>
      <w:r w:rsidR="00B5307A">
        <w:t xml:space="preserve">and young women </w:t>
      </w:r>
      <w:r w:rsidR="00BD1E47" w:rsidRPr="00BD1E47">
        <w:t>in the UK have experienced some form of public sexual harassment in their lifetime</w:t>
      </w:r>
      <w:r w:rsidR="0062356A">
        <w:t xml:space="preserve">. </w:t>
      </w:r>
      <w:r w:rsidR="00483CF7">
        <w:t>Also showing the impact of intersecting identities with</w:t>
      </w:r>
      <w:r w:rsidR="00483CF7">
        <w:rPr>
          <w:rStyle w:val="FootnoteReference"/>
        </w:rPr>
        <w:footnoteReference w:id="46"/>
      </w:r>
      <w:r w:rsidR="00483CF7">
        <w:t>:</w:t>
      </w:r>
    </w:p>
    <w:p w14:paraId="1405E3CB" w14:textId="31C2AD00" w:rsidR="00052DCD" w:rsidRDefault="00483CF7" w:rsidP="00B67805">
      <w:pPr>
        <w:pStyle w:val="ListParagraph"/>
        <w:numPr>
          <w:ilvl w:val="0"/>
          <w:numId w:val="32"/>
        </w:numPr>
      </w:pPr>
      <w:r>
        <w:t>9</w:t>
      </w:r>
      <w:r w:rsidRPr="00483CF7">
        <w:t>2% of girls and young women who consider themselves to have a disability have experienced public sexual harassment.</w:t>
      </w:r>
    </w:p>
    <w:p w14:paraId="6D80DE14" w14:textId="15FC884E" w:rsidR="00052DCD" w:rsidRDefault="00052DCD" w:rsidP="00B67805">
      <w:pPr>
        <w:pStyle w:val="ListParagraph"/>
        <w:numPr>
          <w:ilvl w:val="0"/>
          <w:numId w:val="32"/>
        </w:numPr>
      </w:pPr>
      <w:r>
        <w:t xml:space="preserve">90% </w:t>
      </w:r>
      <w:r w:rsidRPr="00052DCD">
        <w:t xml:space="preserve">of </w:t>
      </w:r>
      <w:r>
        <w:t>LGB</w:t>
      </w:r>
      <w:r w:rsidRPr="00052DCD">
        <w:t xml:space="preserve"> girls and young women have experienced public sexual harassmen</w:t>
      </w:r>
      <w:r>
        <w:t>t</w:t>
      </w:r>
    </w:p>
    <w:p w14:paraId="382ED90B" w14:textId="77EA4E81" w:rsidR="006A1600" w:rsidRPr="00483CF7" w:rsidRDefault="00DA0E51" w:rsidP="00B67805">
      <w:pPr>
        <w:pStyle w:val="ListParagraph"/>
        <w:numPr>
          <w:ilvl w:val="0"/>
          <w:numId w:val="30"/>
        </w:numPr>
        <w:rPr>
          <w:lang w:val="en-US"/>
        </w:rPr>
      </w:pPr>
      <w:r>
        <w:t xml:space="preserve">88% of mixed-race girls have experienced public sexual harassment compared to 75% of white girls. </w:t>
      </w:r>
    </w:p>
    <w:p w14:paraId="30766559" w14:textId="7601C1F8" w:rsidR="006A1600" w:rsidRDefault="00D154BF" w:rsidP="00CC0195">
      <w:r>
        <w:rPr>
          <w:lang w:val="en-US"/>
        </w:rPr>
        <w:t xml:space="preserve">The data also tells us that </w:t>
      </w:r>
      <w:r w:rsidR="00010737">
        <w:rPr>
          <w:lang w:val="en-US"/>
        </w:rPr>
        <w:t xml:space="preserve">using public transport is another domain in which </w:t>
      </w:r>
      <w:r w:rsidR="00661D33">
        <w:rPr>
          <w:lang w:val="en-US"/>
        </w:rPr>
        <w:t xml:space="preserve">sexual harassment is experienced disproportionately by women. A survey by the British Transport Police </w:t>
      </w:r>
      <w:r w:rsidR="004E75CA">
        <w:rPr>
          <w:lang w:val="en-US"/>
        </w:rPr>
        <w:t xml:space="preserve">(BTP) </w:t>
      </w:r>
      <w:r w:rsidR="0026701C">
        <w:rPr>
          <w:lang w:val="en-US"/>
        </w:rPr>
        <w:t>earlier this year (2024) found that over a third of women have been sexually harassed</w:t>
      </w:r>
      <w:r w:rsidR="00C343C8">
        <w:rPr>
          <w:lang w:val="en-US"/>
        </w:rPr>
        <w:t xml:space="preserve"> or sexually offended</w:t>
      </w:r>
      <w:r w:rsidR="0026701C">
        <w:rPr>
          <w:lang w:val="en-US"/>
        </w:rPr>
        <w:t xml:space="preserve"> on their commute by </w:t>
      </w:r>
      <w:r w:rsidR="00EB15E4">
        <w:rPr>
          <w:lang w:val="en-US"/>
        </w:rPr>
        <w:t xml:space="preserve">tube or train. </w:t>
      </w:r>
      <w:r w:rsidR="00E81168">
        <w:rPr>
          <w:rStyle w:val="FootnoteReference"/>
          <w:lang w:val="en-US"/>
        </w:rPr>
        <w:footnoteReference w:id="47"/>
      </w:r>
      <w:r w:rsidR="004E75CA">
        <w:rPr>
          <w:lang w:val="en-US"/>
        </w:rPr>
        <w:t>Further data from the BTP has revealed a 10% increase in s</w:t>
      </w:r>
      <w:proofErr w:type="spellStart"/>
      <w:r w:rsidR="00C93E52" w:rsidRPr="004E75CA">
        <w:t>exual</w:t>
      </w:r>
      <w:proofErr w:type="spellEnd"/>
      <w:r w:rsidR="004E75CA" w:rsidRPr="004E75CA">
        <w:t xml:space="preserve"> offence</w:t>
      </w:r>
      <w:r w:rsidR="004E75CA">
        <w:t xml:space="preserve"> reporting </w:t>
      </w:r>
      <w:r w:rsidR="0043416C">
        <w:t xml:space="preserve">between 2022/2023 and 2023/2024 </w:t>
      </w:r>
      <w:r w:rsidR="004E75CA">
        <w:t xml:space="preserve">and </w:t>
      </w:r>
      <w:r w:rsidR="007661A0">
        <w:t>a 20% increase in VAWG offences in the same period</w:t>
      </w:r>
      <w:r w:rsidR="00C93E52">
        <w:t>.</w:t>
      </w:r>
      <w:r w:rsidR="007661A0">
        <w:rPr>
          <w:rStyle w:val="FootnoteReference"/>
        </w:rPr>
        <w:footnoteReference w:id="48"/>
      </w:r>
      <w:r w:rsidR="00C93E52">
        <w:t xml:space="preserve"> This could be in part due to increased awareness of reporting.</w:t>
      </w:r>
      <w:r w:rsidR="005F456A">
        <w:t xml:space="preserve"> </w:t>
      </w:r>
      <w:r w:rsidR="00C93E52">
        <w:t xml:space="preserve">However, a RMT union </w:t>
      </w:r>
      <w:r w:rsidR="00157C35">
        <w:t>survey in this area in 2023 indicated that m</w:t>
      </w:r>
      <w:r w:rsidR="00157C35" w:rsidRPr="00157C35">
        <w:t xml:space="preserve">ore than 80% of women </w:t>
      </w:r>
      <w:r w:rsidR="004C5694">
        <w:t>working on public transport saying</w:t>
      </w:r>
      <w:r w:rsidR="00157C35" w:rsidRPr="00157C35">
        <w:t xml:space="preserve"> that sexual harassment on public transport is becoming more of a problem</w:t>
      </w:r>
      <w:r w:rsidR="00157C35">
        <w:t xml:space="preserve">. </w:t>
      </w:r>
      <w:r w:rsidR="00F7729B">
        <w:rPr>
          <w:rStyle w:val="FootnoteReference"/>
        </w:rPr>
        <w:footnoteReference w:id="49"/>
      </w:r>
    </w:p>
    <w:p w14:paraId="1F944E15" w14:textId="30457EAA" w:rsidR="0078385E" w:rsidRDefault="00254181" w:rsidP="0045413B">
      <w:pPr>
        <w:pStyle w:val="Heading1"/>
        <w:rPr>
          <w:rStyle w:val="Hyperlink"/>
          <w:color w:val="2F5496" w:themeColor="accent1" w:themeShade="BF"/>
          <w:u w:val="none"/>
        </w:rPr>
      </w:pPr>
      <w:r w:rsidRPr="0045413B">
        <w:rPr>
          <w:rStyle w:val="Hyperlink"/>
          <w:color w:val="2F5496" w:themeColor="accent1" w:themeShade="BF"/>
          <w:u w:val="none"/>
        </w:rPr>
        <w:t>Sexual harassment in Sheffield</w:t>
      </w:r>
      <w:r w:rsidR="0078385E" w:rsidRPr="0045413B">
        <w:rPr>
          <w:rStyle w:val="Hyperlink"/>
          <w:color w:val="2F5496" w:themeColor="accent1" w:themeShade="BF"/>
          <w:u w:val="none"/>
        </w:rPr>
        <w:t>:</w:t>
      </w:r>
    </w:p>
    <w:p w14:paraId="29F7BB46" w14:textId="68BE7234" w:rsidR="00486177" w:rsidRPr="0045413B" w:rsidRDefault="00254181" w:rsidP="0045413B">
      <w:pPr>
        <w:pStyle w:val="Style2"/>
        <w:rPr>
          <w:rStyle w:val="Strong"/>
          <w:b/>
          <w:bCs/>
        </w:rPr>
      </w:pPr>
      <w:r w:rsidRPr="0045413B">
        <w:rPr>
          <w:rStyle w:val="Strong"/>
          <w:b/>
          <w:bCs/>
        </w:rPr>
        <w:t>Impact of sexual harassment</w:t>
      </w:r>
      <w:r w:rsidR="0045413B">
        <w:rPr>
          <w:rStyle w:val="Strong"/>
          <w:b/>
          <w:bCs/>
        </w:rPr>
        <w:t xml:space="preserve"> on mental health</w:t>
      </w:r>
      <w:r w:rsidRPr="0045413B">
        <w:rPr>
          <w:rStyle w:val="Strong"/>
          <w:b/>
          <w:bCs/>
        </w:rPr>
        <w:t>:</w:t>
      </w:r>
    </w:p>
    <w:p w14:paraId="5803BE8B" w14:textId="4F6AEA9C" w:rsidR="00C14EB3" w:rsidRDefault="00C14EB3" w:rsidP="00C14EB3">
      <w:pPr>
        <w:pStyle w:val="Heading4"/>
      </w:pPr>
      <w:r>
        <w:t>Workplace sexual harassment:</w:t>
      </w:r>
    </w:p>
    <w:p w14:paraId="1B8ABD8C" w14:textId="77777777" w:rsidR="0045413B" w:rsidRPr="0045413B" w:rsidRDefault="0045413B" w:rsidP="0045413B"/>
    <w:p w14:paraId="05901B6D" w14:textId="3D549F62" w:rsidR="004115C8" w:rsidRDefault="00E554DC" w:rsidP="00FF6030">
      <w:r>
        <w:rPr>
          <w:rStyle w:val="Strong"/>
          <w:b w:val="0"/>
          <w:bCs w:val="0"/>
        </w:rPr>
        <w:t xml:space="preserve">Research into the </w:t>
      </w:r>
      <w:r w:rsidR="001B4525">
        <w:rPr>
          <w:rStyle w:val="Strong"/>
          <w:b w:val="0"/>
          <w:bCs w:val="0"/>
        </w:rPr>
        <w:t>impact of workplace sexual harassment revealed that the</w:t>
      </w:r>
      <w:r w:rsidR="002705A2">
        <w:rPr>
          <w:rStyle w:val="Strong"/>
          <w:b w:val="0"/>
          <w:bCs w:val="0"/>
        </w:rPr>
        <w:t xml:space="preserve"> largest impact is on </w:t>
      </w:r>
      <w:r w:rsidR="00D0190D">
        <w:rPr>
          <w:rStyle w:val="Strong"/>
          <w:b w:val="0"/>
          <w:bCs w:val="0"/>
        </w:rPr>
        <w:t>the victim/</w:t>
      </w:r>
      <w:r w:rsidR="00FF6030">
        <w:rPr>
          <w:rStyle w:val="Strong"/>
          <w:b w:val="0"/>
          <w:bCs w:val="0"/>
        </w:rPr>
        <w:t>survivor’s</w:t>
      </w:r>
      <w:r w:rsidR="00D0190D">
        <w:rPr>
          <w:rStyle w:val="Strong"/>
          <w:b w:val="0"/>
          <w:bCs w:val="0"/>
        </w:rPr>
        <w:t xml:space="preserve"> mental health. </w:t>
      </w:r>
      <w:r w:rsidR="00FF6030">
        <w:t xml:space="preserve">In their work from 2016 they found that </w:t>
      </w:r>
      <w:r w:rsidR="00172FE0">
        <w:t>overall,</w:t>
      </w:r>
      <w:r w:rsidR="00FF6030">
        <w:t xml:space="preserve"> </w:t>
      </w:r>
      <w:r w:rsidR="00FA0E80">
        <w:t>9</w:t>
      </w:r>
      <w:r w:rsidR="004115C8">
        <w:t>%</w:t>
      </w:r>
      <w:r w:rsidR="004115C8" w:rsidRPr="004115C8">
        <w:t xml:space="preserve"> reported that the harassment had a negative impact on their mental health.</w:t>
      </w:r>
      <w:r w:rsidR="00FF6030">
        <w:t xml:space="preserve"> In subsequent work they found that </w:t>
      </w:r>
      <w:r w:rsidR="002205CF">
        <w:t>34%</w:t>
      </w:r>
      <w:r w:rsidR="00EB3F2D" w:rsidRPr="00EB3F2D">
        <w:t xml:space="preserve"> </w:t>
      </w:r>
      <w:r w:rsidR="00EB3F2D">
        <w:t xml:space="preserve">of disabled women </w:t>
      </w:r>
      <w:r w:rsidR="00EB3F2D" w:rsidRPr="00EB3F2D">
        <w:t>reported that their most recent experience of sexual harassment had had a negative effect to their mental health</w:t>
      </w:r>
      <w:r w:rsidR="00FF6030">
        <w:t xml:space="preserve">, and </w:t>
      </w:r>
      <w:r w:rsidR="00E22F22">
        <w:t xml:space="preserve">16% of LGBT respondents </w:t>
      </w:r>
      <w:r w:rsidR="00E22F22" w:rsidRPr="00E22F22">
        <w:t>said the harassment had a negative effect on their mental health</w:t>
      </w:r>
      <w:r w:rsidR="00FF6030">
        <w:t xml:space="preserve">. </w:t>
      </w:r>
    </w:p>
    <w:p w14:paraId="59E7BE2C" w14:textId="4C1FE4FC" w:rsidR="00275C62" w:rsidRDefault="001132BC" w:rsidP="00FF6030">
      <w:r>
        <w:t>The Government Sexual Harassment Survey 2020 found that o</w:t>
      </w:r>
      <w:r w:rsidRPr="001132BC">
        <w:t>f those who had experienced sexual harassment, 54% stated that their quality of life had been very or fairly affected by at least one of their experiences</w:t>
      </w:r>
      <w:r>
        <w:t>.</w:t>
      </w:r>
      <w:r>
        <w:rPr>
          <w:rStyle w:val="FootnoteReference"/>
        </w:rPr>
        <w:footnoteReference w:id="50"/>
      </w:r>
    </w:p>
    <w:p w14:paraId="56A4936C" w14:textId="0C2DA5E6" w:rsidR="00C14EB3" w:rsidRDefault="00C14EB3" w:rsidP="00C14EB3">
      <w:pPr>
        <w:pStyle w:val="Heading4"/>
      </w:pPr>
      <w:r>
        <w:t>Public sexual harassment:</w:t>
      </w:r>
    </w:p>
    <w:p w14:paraId="0C330ED3" w14:textId="788C75E9" w:rsidR="00D43119" w:rsidRDefault="00E90A9C" w:rsidP="00990FBC">
      <w:r>
        <w:t xml:space="preserve">Research by Plan International showed that for girls and young women aged </w:t>
      </w:r>
      <w:r w:rsidR="00990FBC" w:rsidRPr="00990FBC">
        <w:t>14-21</w:t>
      </w:r>
      <w:r w:rsidR="00990FBC">
        <w:t>, 92%</w:t>
      </w:r>
      <w:r w:rsidR="00990FBC" w:rsidRPr="00990FBC">
        <w:t xml:space="preserve"> associated their incidents with a negative emotion: 49% felt unsafe; 44% felt anxious; 36% felt embarrassed and 32% felt degraded by the experience.</w:t>
      </w:r>
      <w:r w:rsidR="00990FBC">
        <w:rPr>
          <w:rStyle w:val="FootnoteReference"/>
        </w:rPr>
        <w:footnoteReference w:id="51"/>
      </w:r>
    </w:p>
    <w:p w14:paraId="5F05C997" w14:textId="3E65A102" w:rsidR="00256E13" w:rsidRPr="0045413B" w:rsidRDefault="00240A59" w:rsidP="0045413B">
      <w:pPr>
        <w:pStyle w:val="Style2"/>
        <w:rPr>
          <w:rStyle w:val="Strong"/>
          <w:b/>
          <w:bCs/>
        </w:rPr>
      </w:pPr>
      <w:r w:rsidRPr="0045413B">
        <w:rPr>
          <w:rStyle w:val="Strong"/>
          <w:b/>
          <w:bCs/>
        </w:rPr>
        <w:t>Economic and social impact:</w:t>
      </w:r>
    </w:p>
    <w:p w14:paraId="55C439BC" w14:textId="27EC3AC8" w:rsidR="00C14EB3" w:rsidRPr="00C14EB3" w:rsidRDefault="00C14EB3" w:rsidP="00C14EB3">
      <w:pPr>
        <w:pStyle w:val="Heading4"/>
      </w:pPr>
      <w:r>
        <w:t>Workplace sexual harassment:</w:t>
      </w:r>
    </w:p>
    <w:p w14:paraId="24B2DEFD" w14:textId="59916942" w:rsidR="00506B64" w:rsidRDefault="001B4525" w:rsidP="001B4525">
      <w:r>
        <w:rPr>
          <w:rStyle w:val="Strong"/>
          <w:b w:val="0"/>
          <w:bCs w:val="0"/>
        </w:rPr>
        <w:t xml:space="preserve">Research into the impact of workplace sexual harassment revealed that </w:t>
      </w:r>
      <w:r w:rsidR="00093F88">
        <w:rPr>
          <w:rStyle w:val="Strong"/>
          <w:b w:val="0"/>
          <w:bCs w:val="0"/>
        </w:rPr>
        <w:t xml:space="preserve">workplace sexual harassment had an impact on both workplace </w:t>
      </w:r>
      <w:r w:rsidR="00844874">
        <w:rPr>
          <w:rStyle w:val="Strong"/>
          <w:b w:val="0"/>
          <w:bCs w:val="0"/>
        </w:rPr>
        <w:t xml:space="preserve">participation and employment. </w:t>
      </w:r>
      <w:r w:rsidR="006A6354">
        <w:rPr>
          <w:rStyle w:val="Strong"/>
          <w:b w:val="0"/>
          <w:bCs w:val="0"/>
        </w:rPr>
        <w:t>21% had avoided certain workplace situations</w:t>
      </w:r>
      <w:r w:rsidR="008E5095">
        <w:rPr>
          <w:rStyle w:val="Strong"/>
          <w:b w:val="0"/>
          <w:bCs w:val="0"/>
        </w:rPr>
        <w:t xml:space="preserve"> and 15% felt less confident at work. 6% had left that role or employer and </w:t>
      </w:r>
      <w:r w:rsidR="00FA4D8A">
        <w:rPr>
          <w:rStyle w:val="Strong"/>
          <w:b w:val="0"/>
          <w:bCs w:val="0"/>
        </w:rPr>
        <w:t xml:space="preserve">7% had wanted to but could not. </w:t>
      </w:r>
      <w:r w:rsidR="00E939F6">
        <w:rPr>
          <w:rStyle w:val="FootnoteReference"/>
        </w:rPr>
        <w:footnoteReference w:id="52"/>
      </w:r>
      <w:r w:rsidR="00E939F6">
        <w:rPr>
          <w:rStyle w:val="Strong"/>
          <w:b w:val="0"/>
          <w:bCs w:val="0"/>
        </w:rPr>
        <w:t xml:space="preserve"> </w:t>
      </w:r>
      <w:r w:rsidR="002D37A1">
        <w:rPr>
          <w:rStyle w:val="Strong"/>
          <w:b w:val="0"/>
          <w:bCs w:val="0"/>
        </w:rPr>
        <w:t xml:space="preserve">When considering the impact on </w:t>
      </w:r>
      <w:r w:rsidR="006B2592">
        <w:rPr>
          <w:rStyle w:val="Strong"/>
          <w:b w:val="0"/>
          <w:bCs w:val="0"/>
        </w:rPr>
        <w:t>LGBT staff,</w:t>
      </w:r>
      <w:r w:rsidR="002D37A1">
        <w:rPr>
          <w:rStyle w:val="Strong"/>
          <w:b w:val="0"/>
          <w:bCs w:val="0"/>
        </w:rPr>
        <w:t xml:space="preserve"> 16% had left their role due to sexual harassment</w:t>
      </w:r>
      <w:r w:rsidR="003D51D9">
        <w:rPr>
          <w:rStyle w:val="Strong"/>
          <w:b w:val="0"/>
          <w:bCs w:val="0"/>
        </w:rPr>
        <w:t xml:space="preserve"> and 20% felt less confident at work.</w:t>
      </w:r>
      <w:r w:rsidR="003D51D9">
        <w:rPr>
          <w:rStyle w:val="FootnoteReference"/>
        </w:rPr>
        <w:footnoteReference w:id="53"/>
      </w:r>
      <w:r w:rsidR="00A27292">
        <w:rPr>
          <w:rStyle w:val="Strong"/>
          <w:b w:val="0"/>
          <w:bCs w:val="0"/>
        </w:rPr>
        <w:t xml:space="preserve"> </w:t>
      </w:r>
      <w:r w:rsidR="00A27292" w:rsidRPr="00A27292">
        <w:t xml:space="preserve">12 </w:t>
      </w:r>
      <w:r w:rsidR="00A27292">
        <w:t xml:space="preserve">% of disabled </w:t>
      </w:r>
      <w:r w:rsidR="00A27292" w:rsidRPr="00A27292">
        <w:t>said their most recent experience of sexual harassment had caused them to leave their job or employer</w:t>
      </w:r>
      <w:r w:rsidR="00A27292">
        <w:t xml:space="preserve">, and </w:t>
      </w:r>
      <w:r w:rsidR="004C5DF9">
        <w:t>21% reported that it had impacted relationships with colleagues.</w:t>
      </w:r>
      <w:r w:rsidR="00275C62">
        <w:t xml:space="preserve"> </w:t>
      </w:r>
    </w:p>
    <w:p w14:paraId="57AA6A63" w14:textId="794CFE3E" w:rsidR="00C14EB3" w:rsidRDefault="00C14EB3" w:rsidP="00C14EB3">
      <w:pPr>
        <w:pStyle w:val="Heading4"/>
      </w:pPr>
      <w:r>
        <w:t>Public sexual harassment:</w:t>
      </w:r>
    </w:p>
    <w:p w14:paraId="37EB2B3D" w14:textId="57397219" w:rsidR="00E90A9C" w:rsidRDefault="00E90A9C" w:rsidP="00E90A9C">
      <w:r>
        <w:t xml:space="preserve">Research by Plan International showed that for girls and young women aged 12-21, </w:t>
      </w:r>
      <w:r w:rsidRPr="00E90A9C">
        <w:t xml:space="preserve">62% have avoided doing something due to either experiencing or feeling worried about public sexual harassment, including exercise, socialising, hobbies, work and education. </w:t>
      </w:r>
      <w:r>
        <w:t xml:space="preserve">For </w:t>
      </w:r>
      <w:r w:rsidR="00731891">
        <w:t xml:space="preserve">LGBT girls and young women this was 78% and for disabled girls and young women this was 83%. </w:t>
      </w:r>
    </w:p>
    <w:p w14:paraId="3390A0C0" w14:textId="1FB4A579" w:rsidR="00444391" w:rsidRDefault="00444391" w:rsidP="00870D4E">
      <w:pPr>
        <w:pStyle w:val="Style2"/>
      </w:pPr>
      <w:r>
        <w:t>Disclosure and reporting of sexual harassment:</w:t>
      </w:r>
    </w:p>
    <w:p w14:paraId="6BC3C3DD" w14:textId="0CBC8645" w:rsidR="00371C4E" w:rsidRDefault="000D2D7E" w:rsidP="00E90A9C">
      <w:r>
        <w:t>Much of sexual harassment goes unreported, and t</w:t>
      </w:r>
      <w:r w:rsidR="002A3D98">
        <w:t xml:space="preserve">here is considerable overlap in the rationale in reporting decisions across sexual assault and </w:t>
      </w:r>
      <w:r w:rsidR="0027530F">
        <w:t xml:space="preserve">sexual harassment. </w:t>
      </w:r>
    </w:p>
    <w:p w14:paraId="31A991E9" w14:textId="3BFCAB8A" w:rsidR="00444391" w:rsidRDefault="00E82007" w:rsidP="00E90A9C">
      <w:r>
        <w:t xml:space="preserve">A poll </w:t>
      </w:r>
      <w:r w:rsidR="00E102EB">
        <w:t xml:space="preserve">conducted in 2023 </w:t>
      </w:r>
      <w:r>
        <w:t>by the TUC found that</w:t>
      </w:r>
      <w:r w:rsidR="0027530F">
        <w:t xml:space="preserve"> only</w:t>
      </w:r>
      <w:r>
        <w:t xml:space="preserve"> </w:t>
      </w:r>
      <w:r w:rsidRPr="00E82007">
        <w:t xml:space="preserve">30% of women who say they experienced sexual harassment at work told their employer about what was </w:t>
      </w:r>
      <w:r>
        <w:t xml:space="preserve">happening. </w:t>
      </w:r>
      <w:r w:rsidR="00371C4E">
        <w:t>Reasons for not reporting included</w:t>
      </w:r>
      <w:r w:rsidR="00E102EB">
        <w:t xml:space="preserve"> </w:t>
      </w:r>
      <w:r w:rsidR="00371C4E">
        <w:t>feeling like</w:t>
      </w:r>
      <w:r w:rsidR="00E102EB" w:rsidRPr="00E102EB">
        <w:t xml:space="preserve"> they would not be believed or taken seriously (39%), </w:t>
      </w:r>
      <w:r w:rsidR="00371C4E">
        <w:t>and fear of reporting</w:t>
      </w:r>
      <w:r w:rsidR="00E102EB" w:rsidRPr="00E102EB">
        <w:t xml:space="preserve"> negatively on their relationships at work (37%) or on their career prospects (25%). </w:t>
      </w:r>
      <w:r w:rsidR="0027530F">
        <w:rPr>
          <w:rStyle w:val="FootnoteReference"/>
        </w:rPr>
        <w:footnoteReference w:id="54"/>
      </w:r>
      <w:r w:rsidR="00211516">
        <w:t xml:space="preserve"> </w:t>
      </w:r>
      <w:r w:rsidR="000E545F">
        <w:t xml:space="preserve">This is echoed by their work </w:t>
      </w:r>
      <w:r w:rsidR="00C24527">
        <w:t xml:space="preserve">specifically focused on LGBT and disabled female workers. Their </w:t>
      </w:r>
      <w:r w:rsidR="00211516">
        <w:t xml:space="preserve">report on LGBT sexual harassment at work also revealed </w:t>
      </w:r>
      <w:r w:rsidR="005F68D6">
        <w:t>additional concerns that</w:t>
      </w:r>
      <w:r w:rsidR="005F68D6" w:rsidRPr="005F68D6">
        <w:t xml:space="preserve"> not reported </w:t>
      </w:r>
      <w:r w:rsidR="005F68D6">
        <w:t xml:space="preserve">around </w:t>
      </w:r>
      <w:r w:rsidR="00E462DA">
        <w:t>revealing</w:t>
      </w:r>
      <w:r w:rsidR="005F68D6" w:rsidRPr="005F68D6">
        <w:t xml:space="preserve"> their sexual orientation and/or gender identity</w:t>
      </w:r>
      <w:r w:rsidR="00E462DA">
        <w:t xml:space="preserve"> (25%). </w:t>
      </w:r>
      <w:r w:rsidR="00E462DA">
        <w:rPr>
          <w:rStyle w:val="FootnoteReference"/>
        </w:rPr>
        <w:footnoteReference w:id="55"/>
      </w:r>
    </w:p>
    <w:p w14:paraId="6F00DC62" w14:textId="3D554140" w:rsidR="00444391" w:rsidRDefault="00BA78EA" w:rsidP="00E90A9C">
      <w:r>
        <w:t xml:space="preserve">Plan International UK data for girls and women aged </w:t>
      </w:r>
      <w:r w:rsidR="004C0FB7">
        <w:t xml:space="preserve">12-21 revealed that only </w:t>
      </w:r>
      <w:r w:rsidR="004C0FB7" w:rsidRPr="004C0FB7">
        <w:t>26% of those who have experienced public sexual harassment have ever reported an incident to the police. Of those, only 26% said the police took their case forward and dealt with it as a crime.</w:t>
      </w:r>
      <w:r w:rsidR="004C0FB7">
        <w:rPr>
          <w:rStyle w:val="FootnoteReference"/>
        </w:rPr>
        <w:footnoteReference w:id="56"/>
      </w:r>
    </w:p>
    <w:p w14:paraId="5E38C6B5" w14:textId="77777777" w:rsidR="00444391" w:rsidRDefault="00444391" w:rsidP="00D43119">
      <w:pPr>
        <w:pStyle w:val="Style2"/>
      </w:pPr>
    </w:p>
    <w:p w14:paraId="08772BD7" w14:textId="77777777" w:rsidR="00444391" w:rsidRDefault="00444391" w:rsidP="00D43119">
      <w:pPr>
        <w:pStyle w:val="Style2"/>
      </w:pPr>
    </w:p>
    <w:p w14:paraId="6EAEE287" w14:textId="0292A409" w:rsidR="00444391" w:rsidRDefault="00444391">
      <w:pPr>
        <w:rPr>
          <w:rFonts w:ascii="Arial" w:eastAsiaTheme="majorEastAsia" w:hAnsi="Arial" w:cstheme="majorBidi"/>
          <w:b/>
          <w:bCs/>
          <w:color w:val="2F5496" w:themeColor="accent1" w:themeShade="BF"/>
          <w:sz w:val="24"/>
          <w:szCs w:val="24"/>
        </w:rPr>
      </w:pPr>
      <w:r>
        <w:br w:type="page"/>
      </w:r>
    </w:p>
    <w:p w14:paraId="7703EC65" w14:textId="46354968" w:rsidR="00D43119" w:rsidRDefault="00D43119" w:rsidP="00D43119">
      <w:pPr>
        <w:pStyle w:val="Style2"/>
      </w:pPr>
      <w:r w:rsidRPr="009A3890">
        <w:t xml:space="preserve">What do we know about perpetrators of sexual </w:t>
      </w:r>
      <w:r>
        <w:t>harassment</w:t>
      </w:r>
      <w:r w:rsidRPr="009A3890">
        <w:t>?</w:t>
      </w:r>
    </w:p>
    <w:p w14:paraId="61AA10A8" w14:textId="77777777" w:rsidR="00D218F9" w:rsidRDefault="00D218F9" w:rsidP="00C52463">
      <w:r>
        <w:t>When considering sex</w:t>
      </w:r>
      <w:r w:rsidRPr="0087753F">
        <w:t>ual</w:t>
      </w:r>
      <w:r w:rsidR="0087753F" w:rsidRPr="0087753F">
        <w:t xml:space="preserve"> harassment </w:t>
      </w:r>
      <w:r>
        <w:t xml:space="preserve">in its entirety, it </w:t>
      </w:r>
      <w:r w:rsidR="0087753F" w:rsidRPr="0087753F">
        <w:t xml:space="preserve">is often perpetrated by someone known to the victim, </w:t>
      </w:r>
      <w:r w:rsidR="0087753F">
        <w:t xml:space="preserve">as well as </w:t>
      </w:r>
      <w:r>
        <w:t>s</w:t>
      </w:r>
      <w:r w:rsidR="0087753F" w:rsidRPr="0087753F">
        <w:t xml:space="preserve">trangers. </w:t>
      </w:r>
    </w:p>
    <w:p w14:paraId="58D34509" w14:textId="7816ED38" w:rsidR="007B3B19" w:rsidRDefault="00D218F9" w:rsidP="00C52463">
      <w:r>
        <w:t xml:space="preserve">The Government </w:t>
      </w:r>
      <w:r w:rsidR="0042635F">
        <w:t>S</w:t>
      </w:r>
      <w:r>
        <w:t xml:space="preserve">urvey of </w:t>
      </w:r>
      <w:r w:rsidR="0042635F">
        <w:t>S</w:t>
      </w:r>
      <w:r>
        <w:t xml:space="preserve">exual </w:t>
      </w:r>
      <w:r w:rsidR="0042635F">
        <w:t>H</w:t>
      </w:r>
      <w:r>
        <w:t xml:space="preserve">arassment found that </w:t>
      </w:r>
      <w:r w:rsidR="0087753F" w:rsidRPr="0087753F">
        <w:t>76%</w:t>
      </w:r>
      <w:r w:rsidR="00E81B80">
        <w:t xml:space="preserve"> </w:t>
      </w:r>
      <w:r w:rsidR="0087753F" w:rsidRPr="0087753F">
        <w:t>had experienced it by a stranger, but around 63%</w:t>
      </w:r>
      <w:r w:rsidR="00E81B80">
        <w:t xml:space="preserve"> </w:t>
      </w:r>
      <w:r w:rsidR="0087753F" w:rsidRPr="0087753F">
        <w:t>experienced at least one behaviour from someone that they knew.</w:t>
      </w:r>
      <w:r w:rsidR="00E81B80">
        <w:t xml:space="preserve"> </w:t>
      </w:r>
      <w:r w:rsidR="00143555">
        <w:t>Most commonly, but not exclusively the perpetrators of sexual harassment were men.</w:t>
      </w:r>
      <w:r w:rsidR="007B3B19">
        <w:t xml:space="preserve"> 45% had experienced sexual harassment from a group</w:t>
      </w:r>
      <w:r w:rsidR="00397AAB">
        <w:t xml:space="preserve">. </w:t>
      </w:r>
      <w:r w:rsidR="00C70837">
        <w:t xml:space="preserve">16% had experienced repeated sexual harassment from </w:t>
      </w:r>
      <w:r w:rsidR="00397AAB">
        <w:t>the perpetrator/s</w:t>
      </w:r>
      <w:r w:rsidR="00617AA8">
        <w:t xml:space="preserve"> at some point. </w:t>
      </w:r>
      <w:r w:rsidR="00617AA8">
        <w:rPr>
          <w:rStyle w:val="FootnoteReference"/>
        </w:rPr>
        <w:footnoteReference w:id="57"/>
      </w:r>
    </w:p>
    <w:p w14:paraId="712C9092" w14:textId="23322884" w:rsidR="00A52297" w:rsidRDefault="00A52297" w:rsidP="00C52463">
      <w:r>
        <w:t>This is supported by estimates from the CSEW which found that 7</w:t>
      </w:r>
      <w:r w:rsidR="00CF0379">
        <w:t>4</w:t>
      </w:r>
      <w:r>
        <w:t xml:space="preserve">% of perpetrators of </w:t>
      </w:r>
      <w:r w:rsidR="00CF0379">
        <w:t>sexual harassment were strangers</w:t>
      </w:r>
      <w:r w:rsidR="00FC1633">
        <w:t>.</w:t>
      </w:r>
      <w:r w:rsidR="00FC1633">
        <w:rPr>
          <w:rStyle w:val="FootnoteReference"/>
        </w:rPr>
        <w:footnoteReference w:id="58"/>
      </w:r>
      <w:r w:rsidR="00D27BAE">
        <w:t xml:space="preserve"> </w:t>
      </w:r>
    </w:p>
    <w:p w14:paraId="1A7E53AA" w14:textId="7D310D53" w:rsidR="00AB60F2" w:rsidRDefault="00597BDB" w:rsidP="00597BDB">
      <w:pPr>
        <w:pStyle w:val="Style2"/>
        <w:rPr>
          <w:rStyle w:val="Strong"/>
          <w:b/>
          <w:bCs/>
        </w:rPr>
      </w:pPr>
      <w:r>
        <w:rPr>
          <w:rStyle w:val="Strong"/>
          <w:b/>
          <w:bCs/>
        </w:rPr>
        <w:t>Upcoming legislative changes:</w:t>
      </w:r>
    </w:p>
    <w:p w14:paraId="2F48B961" w14:textId="7AA11B3E" w:rsidR="00597BDB" w:rsidRPr="000B63B9" w:rsidRDefault="00597BDB" w:rsidP="00597BDB">
      <w:r w:rsidRPr="000B63B9">
        <w:t xml:space="preserve">Two pieces of legislation related to sexual harassment will come into force in October 2024. </w:t>
      </w:r>
    </w:p>
    <w:p w14:paraId="1DEA5A7F" w14:textId="28A8D304" w:rsidR="00597BDB" w:rsidRPr="000B63B9" w:rsidRDefault="000B63B9" w:rsidP="000B63B9">
      <w:pPr>
        <w:pStyle w:val="ListParagraph"/>
        <w:numPr>
          <w:ilvl w:val="0"/>
          <w:numId w:val="38"/>
        </w:numPr>
      </w:pPr>
      <w:r w:rsidRPr="000B63B9">
        <w:t>Protection from Sex-Based Harassment in Public Act 2023, which introduces a specific offence for public sexual harassment from October 1</w:t>
      </w:r>
      <w:r w:rsidRPr="000B63B9">
        <w:rPr>
          <w:vertAlign w:val="superscript"/>
        </w:rPr>
        <w:t>st</w:t>
      </w:r>
      <w:r w:rsidRPr="000B63B9">
        <w:t>, 2024.</w:t>
      </w:r>
    </w:p>
    <w:p w14:paraId="2F9F0055" w14:textId="37090655" w:rsidR="003107ED" w:rsidRPr="003107ED" w:rsidRDefault="00F53266" w:rsidP="003107ED">
      <w:pPr>
        <w:pStyle w:val="ListParagraph"/>
        <w:numPr>
          <w:ilvl w:val="0"/>
          <w:numId w:val="38"/>
        </w:numPr>
        <w:rPr>
          <w:rStyle w:val="Strong"/>
          <w:b w:val="0"/>
          <w:bCs w:val="0"/>
        </w:rPr>
      </w:pPr>
      <w:r w:rsidRPr="00F53266">
        <w:t xml:space="preserve"> The Worker Protection (Amendment of Equality Act 2010) Act 2023 places increased responsibility on businesses to take 'reasonable steps' to </w:t>
      </w:r>
      <w:r>
        <w:t xml:space="preserve">prevent sexual harassment from October </w:t>
      </w:r>
      <w:r w:rsidR="00AD66B7">
        <w:t>26</w:t>
      </w:r>
      <w:r w:rsidR="00AD66B7" w:rsidRPr="00AD66B7">
        <w:rPr>
          <w:vertAlign w:val="superscript"/>
        </w:rPr>
        <w:t>th</w:t>
      </w:r>
      <w:r w:rsidR="00AD66B7">
        <w:t>, 2024.</w:t>
      </w:r>
    </w:p>
    <w:p w14:paraId="1A696AF0" w14:textId="7AE43876" w:rsidR="003107ED" w:rsidRDefault="003107ED" w:rsidP="003E2E90">
      <w:pPr>
        <w:rPr>
          <w:rStyle w:val="Strong"/>
        </w:rPr>
      </w:pPr>
      <w:r w:rsidRPr="3E42AE3A">
        <w:rPr>
          <w:rStyle w:val="Strong"/>
        </w:rPr>
        <w:t xml:space="preserve">Recommendation: </w:t>
      </w:r>
      <w:r w:rsidR="00FB6A0B" w:rsidRPr="3E42AE3A">
        <w:rPr>
          <w:rStyle w:val="Strong"/>
        </w:rPr>
        <w:t xml:space="preserve">To use the data collated in this needs assessment and new Sheffield data from the public consultation surveys to </w:t>
      </w:r>
      <w:r w:rsidR="00941553" w:rsidRPr="3E42AE3A">
        <w:rPr>
          <w:rStyle w:val="Strong"/>
        </w:rPr>
        <w:t xml:space="preserve">develop plans specifically focusing on sexual harassment for inclusion in the new strategy. </w:t>
      </w:r>
      <w:r w:rsidR="0060045C" w:rsidRPr="3E42AE3A">
        <w:rPr>
          <w:rStyle w:val="Strong"/>
        </w:rPr>
        <w:t xml:space="preserve">To include plans to increase knowledge in this area and </w:t>
      </w:r>
      <w:r w:rsidR="00980F7E" w:rsidRPr="3E42AE3A">
        <w:rPr>
          <w:rStyle w:val="Strong"/>
        </w:rPr>
        <w:t>support for those who have witnessed and experienced sexual harassment.</w:t>
      </w:r>
    </w:p>
    <w:p w14:paraId="34C6F4F6" w14:textId="7044CC95" w:rsidR="00597BDB" w:rsidRDefault="000B63B9" w:rsidP="003E2E90">
      <w:pPr>
        <w:rPr>
          <w:rStyle w:val="Strong"/>
        </w:rPr>
      </w:pPr>
      <w:r w:rsidRPr="3E42AE3A">
        <w:rPr>
          <w:rStyle w:val="Strong"/>
        </w:rPr>
        <w:t xml:space="preserve">Recommendation: To </w:t>
      </w:r>
      <w:r w:rsidR="000C134A" w:rsidRPr="3E42AE3A">
        <w:rPr>
          <w:rStyle w:val="Strong"/>
        </w:rPr>
        <w:t>utilise the introduction of these two pieces of legislation to raise awareness of sexual harassment and support options</w:t>
      </w:r>
      <w:r w:rsidR="00654762" w:rsidRPr="3E42AE3A">
        <w:rPr>
          <w:rStyle w:val="Strong"/>
        </w:rPr>
        <w:t>.</w:t>
      </w:r>
    </w:p>
    <w:p w14:paraId="1231F7EC" w14:textId="4DA43548" w:rsidR="00654762" w:rsidRPr="000C134A" w:rsidRDefault="00654762" w:rsidP="003E2E90">
      <w:pPr>
        <w:rPr>
          <w:rStyle w:val="Strong"/>
        </w:rPr>
      </w:pPr>
      <w:r w:rsidRPr="3E42AE3A">
        <w:rPr>
          <w:rStyle w:val="Strong"/>
        </w:rPr>
        <w:t>Recommendation: To monitor the impact of these legislative changes</w:t>
      </w:r>
      <w:r w:rsidR="00F05B66" w:rsidRPr="3E42AE3A">
        <w:rPr>
          <w:rStyle w:val="Strong"/>
        </w:rPr>
        <w:t xml:space="preserve"> across agencies</w:t>
      </w:r>
      <w:r w:rsidRPr="3E42AE3A">
        <w:rPr>
          <w:rStyle w:val="Strong"/>
        </w:rPr>
        <w:t xml:space="preserve"> over the course of the strategy</w:t>
      </w:r>
      <w:r w:rsidR="007D546D" w:rsidRPr="3E42AE3A">
        <w:rPr>
          <w:rStyle w:val="Strong"/>
        </w:rPr>
        <w:t xml:space="preserve"> as part of existing work around RASSO and the White Ribbon workplan.</w:t>
      </w:r>
    </w:p>
    <w:p w14:paraId="5A2D5051" w14:textId="427770A2" w:rsidR="00BC4C7E" w:rsidRDefault="00BC4C7E" w:rsidP="00444391">
      <w:pPr>
        <w:pStyle w:val="Style2"/>
        <w:rPr>
          <w:rStyle w:val="Strong"/>
          <w:b/>
          <w:bCs/>
        </w:rPr>
      </w:pPr>
      <w:r w:rsidRPr="00254181">
        <w:rPr>
          <w:rStyle w:val="Strong"/>
          <w:b/>
          <w:bCs/>
        </w:rPr>
        <w:t xml:space="preserve">What does the data tell us about </w:t>
      </w:r>
      <w:r w:rsidR="00C75107">
        <w:rPr>
          <w:rStyle w:val="Strong"/>
          <w:b/>
          <w:bCs/>
        </w:rPr>
        <w:t xml:space="preserve">other </w:t>
      </w:r>
      <w:r w:rsidR="007F2864">
        <w:rPr>
          <w:rStyle w:val="Strong"/>
          <w:b/>
          <w:bCs/>
        </w:rPr>
        <w:t>forms of sexual violence</w:t>
      </w:r>
      <w:r w:rsidRPr="00254181">
        <w:rPr>
          <w:rStyle w:val="Strong"/>
          <w:b/>
          <w:bCs/>
        </w:rPr>
        <w:t>?</w:t>
      </w:r>
    </w:p>
    <w:p w14:paraId="139033AF" w14:textId="4FD857CD" w:rsidR="0035447C" w:rsidRDefault="0078716D" w:rsidP="00BB2DDA">
      <w:pPr>
        <w:pStyle w:val="Heading2"/>
        <w:rPr>
          <w:rStyle w:val="Strong"/>
          <w:color w:val="1F4E79" w:themeColor="accent5" w:themeShade="80"/>
        </w:rPr>
      </w:pPr>
      <w:r w:rsidRPr="00D9272E">
        <w:rPr>
          <w:rStyle w:val="Strong"/>
          <w:color w:val="1F4E79" w:themeColor="accent5" w:themeShade="80"/>
        </w:rPr>
        <w:t>Exposure, voyeurism and image-based offences</w:t>
      </w:r>
      <w:r w:rsidR="0035447C" w:rsidRPr="00D9272E">
        <w:rPr>
          <w:rStyle w:val="Strong"/>
          <w:color w:val="1F4E79" w:themeColor="accent5" w:themeShade="80"/>
        </w:rPr>
        <w:t xml:space="preserve"> (upskirting</w:t>
      </w:r>
      <w:r w:rsidRPr="00D9272E">
        <w:rPr>
          <w:rStyle w:val="Strong"/>
          <w:color w:val="1F4E79" w:themeColor="accent5" w:themeShade="80"/>
        </w:rPr>
        <w:t>,</w:t>
      </w:r>
      <w:r w:rsidR="0035447C" w:rsidRPr="00D9272E">
        <w:rPr>
          <w:rStyle w:val="Strong"/>
          <w:color w:val="1F4E79" w:themeColor="accent5" w:themeShade="80"/>
        </w:rPr>
        <w:t xml:space="preserve"> flashing</w:t>
      </w:r>
      <w:r w:rsidRPr="00D9272E">
        <w:rPr>
          <w:rStyle w:val="Strong"/>
          <w:color w:val="1F4E79" w:themeColor="accent5" w:themeShade="80"/>
        </w:rPr>
        <w:t xml:space="preserve"> and revenge porn</w:t>
      </w:r>
      <w:r w:rsidR="0035447C" w:rsidRPr="00D9272E">
        <w:rPr>
          <w:rStyle w:val="Strong"/>
          <w:color w:val="1F4E79" w:themeColor="accent5" w:themeShade="80"/>
        </w:rPr>
        <w:t xml:space="preserve">): </w:t>
      </w:r>
    </w:p>
    <w:p w14:paraId="63199F0E" w14:textId="77777777" w:rsidR="00D9272E" w:rsidRPr="00D9272E" w:rsidRDefault="00D9272E" w:rsidP="00D9272E"/>
    <w:p w14:paraId="701CD3B7" w14:textId="77777777" w:rsidR="00575C93" w:rsidRPr="00D9272E" w:rsidRDefault="0035447C" w:rsidP="00657DA3">
      <w:pPr>
        <w:pStyle w:val="Heading4"/>
        <w:rPr>
          <w:b/>
          <w:bCs/>
          <w:color w:val="1F4E79" w:themeColor="accent5" w:themeShade="80"/>
        </w:rPr>
      </w:pPr>
      <w:r w:rsidRPr="00D9272E">
        <w:rPr>
          <w:b/>
          <w:bCs/>
          <w:color w:val="1F4E79" w:themeColor="accent5" w:themeShade="80"/>
        </w:rPr>
        <w:t xml:space="preserve">National data: </w:t>
      </w:r>
    </w:p>
    <w:p w14:paraId="655C4669" w14:textId="77777777" w:rsidR="00BB4B5F" w:rsidRDefault="00BB4B5F" w:rsidP="2AEF0F6D">
      <w:pPr>
        <w:spacing w:line="256" w:lineRule="auto"/>
      </w:pPr>
    </w:p>
    <w:p w14:paraId="2C72D484" w14:textId="4ECB3926" w:rsidR="00575C93" w:rsidRPr="00BB2DDA" w:rsidRDefault="6B44A1D1" w:rsidP="2AEF0F6D">
      <w:pPr>
        <w:spacing w:line="256" w:lineRule="auto"/>
        <w:rPr>
          <w:color w:val="5B9BD5" w:themeColor="accent5"/>
        </w:rPr>
      </w:pPr>
      <w:r w:rsidRPr="2AEF0F6D">
        <w:t>The link</w:t>
      </w:r>
      <w:r w:rsidR="758E481F" w:rsidRPr="2AEF0F6D">
        <w:t>s</w:t>
      </w:r>
      <w:r w:rsidRPr="2AEF0F6D">
        <w:t xml:space="preserve"> between lower-level offences (including lower-level sexual offences) and escalating risk of rape and serious sexual offences are becoming increasingly acknowledged. Most notably the Angiolini Inquiry Part 1, which examined how a serving Metropolitan Police officer could abduct, rape and kill Sarah Everard in 2021, called for more training and awareness of the seriousness of masturbatory incident exposure. </w:t>
      </w:r>
    </w:p>
    <w:p w14:paraId="5366F3E3" w14:textId="20D86638" w:rsidR="00E2567C" w:rsidRPr="00BB2DDA" w:rsidRDefault="3468F066" w:rsidP="2AEF0F6D">
      <w:pPr>
        <w:rPr>
          <w:color w:val="5B9BD5" w:themeColor="accent5"/>
        </w:rPr>
      </w:pPr>
      <w:r w:rsidRPr="2AEF0F6D">
        <w:t>As outlined in the previous section, t</w:t>
      </w:r>
      <w:r w:rsidR="34DEA9D6" w:rsidRPr="2AEF0F6D">
        <w:t>he Crime Survey of England and Wales (CSEW) places indecent exposure under the larger category of sexual assault</w:t>
      </w:r>
      <w:r w:rsidRPr="2AEF0F6D">
        <w:t xml:space="preserve">, in a sub-category </w:t>
      </w:r>
      <w:r w:rsidR="5A7044DF" w:rsidRPr="2AEF0F6D">
        <w:t xml:space="preserve">with unwanted sexual touching. </w:t>
      </w:r>
      <w:r w:rsidR="1F5B3418" w:rsidRPr="2AEF0F6D">
        <w:t>By separating this out e</w:t>
      </w:r>
      <w:r w:rsidR="35AAC476" w:rsidRPr="2AEF0F6D">
        <w:t xml:space="preserve">stimates for Sheffield specifically for indecent exposure are shown below. </w:t>
      </w:r>
    </w:p>
    <w:p w14:paraId="04DD317E" w14:textId="21283FAA" w:rsidR="00E2567C" w:rsidRPr="00F378D0" w:rsidRDefault="005D727A" w:rsidP="00575C93">
      <w:r w:rsidRPr="00F378D0">
        <w:t>Estimated prevalence of indecent exposure:</w:t>
      </w:r>
    </w:p>
    <w:tbl>
      <w:tblPr>
        <w:tblStyle w:val="TableGrid"/>
        <w:tblW w:w="0" w:type="auto"/>
        <w:tblLook w:val="04A0" w:firstRow="1" w:lastRow="0" w:firstColumn="1" w:lastColumn="0" w:noHBand="0" w:noVBand="1"/>
      </w:tblPr>
      <w:tblGrid>
        <w:gridCol w:w="3005"/>
        <w:gridCol w:w="3005"/>
        <w:gridCol w:w="3006"/>
      </w:tblGrid>
      <w:tr w:rsidR="00F378D0" w:rsidRPr="00F378D0" w14:paraId="1582BA79" w14:textId="77777777" w:rsidTr="2AEF0F6D">
        <w:tc>
          <w:tcPr>
            <w:tcW w:w="3005" w:type="dxa"/>
          </w:tcPr>
          <w:p w14:paraId="54219D05" w14:textId="77777777" w:rsidR="006A2B81" w:rsidRPr="00F378D0" w:rsidRDefault="006A2B81" w:rsidP="2AEF0F6D"/>
        </w:tc>
        <w:tc>
          <w:tcPr>
            <w:tcW w:w="3005" w:type="dxa"/>
          </w:tcPr>
          <w:p w14:paraId="2891A85A" w14:textId="5F02754D" w:rsidR="006A2B81" w:rsidRPr="00F378D0" w:rsidRDefault="402EFE50" w:rsidP="2AEF0F6D">
            <w:r w:rsidRPr="00F378D0">
              <w:t>Within the last year</w:t>
            </w:r>
          </w:p>
        </w:tc>
        <w:tc>
          <w:tcPr>
            <w:tcW w:w="3006" w:type="dxa"/>
          </w:tcPr>
          <w:p w14:paraId="76F44EDF" w14:textId="00B129E0" w:rsidR="006A2B81" w:rsidRPr="00F378D0" w:rsidRDefault="402EFE50" w:rsidP="2AEF0F6D">
            <w:r w:rsidRPr="00F378D0">
              <w:t>Since the age of 16</w:t>
            </w:r>
          </w:p>
        </w:tc>
      </w:tr>
      <w:tr w:rsidR="00F378D0" w:rsidRPr="00F378D0" w14:paraId="64F1C697" w14:textId="77777777" w:rsidTr="2AEF0F6D">
        <w:tc>
          <w:tcPr>
            <w:tcW w:w="3005" w:type="dxa"/>
          </w:tcPr>
          <w:p w14:paraId="5338785E" w14:textId="51DE66EA" w:rsidR="006A2B81" w:rsidRPr="00F378D0" w:rsidRDefault="402EFE50" w:rsidP="2AEF0F6D">
            <w:r w:rsidRPr="00F378D0">
              <w:t>National estimate (%)</w:t>
            </w:r>
          </w:p>
        </w:tc>
        <w:tc>
          <w:tcPr>
            <w:tcW w:w="3005" w:type="dxa"/>
          </w:tcPr>
          <w:p w14:paraId="386E81C5" w14:textId="455A7542" w:rsidR="006A2B81" w:rsidRPr="00F378D0" w:rsidRDefault="402EFE50" w:rsidP="2AEF0F6D">
            <w:r w:rsidRPr="00F378D0">
              <w:t>0.4</w:t>
            </w:r>
          </w:p>
        </w:tc>
        <w:tc>
          <w:tcPr>
            <w:tcW w:w="3006" w:type="dxa"/>
          </w:tcPr>
          <w:p w14:paraId="02753152" w14:textId="3CBB11E9" w:rsidR="006A2B81" w:rsidRPr="00F378D0" w:rsidRDefault="6618C548" w:rsidP="2AEF0F6D">
            <w:r w:rsidRPr="00F378D0">
              <w:t>7.1</w:t>
            </w:r>
          </w:p>
        </w:tc>
      </w:tr>
      <w:tr w:rsidR="00BB2DDA" w:rsidRPr="00F378D0" w14:paraId="16438F92" w14:textId="77777777" w:rsidTr="2AEF0F6D">
        <w:tc>
          <w:tcPr>
            <w:tcW w:w="3005" w:type="dxa"/>
          </w:tcPr>
          <w:p w14:paraId="2A5C8AB7" w14:textId="5190EAD7" w:rsidR="006A2B81" w:rsidRPr="00F378D0" w:rsidRDefault="402EFE50" w:rsidP="2AEF0F6D">
            <w:r w:rsidRPr="00F378D0">
              <w:t>Sheffield estimate</w:t>
            </w:r>
            <w:r w:rsidR="77D193CA" w:rsidRPr="00F378D0">
              <w:t xml:space="preserve"> (people)</w:t>
            </w:r>
          </w:p>
        </w:tc>
        <w:tc>
          <w:tcPr>
            <w:tcW w:w="3005" w:type="dxa"/>
          </w:tcPr>
          <w:p w14:paraId="3B4262A0" w14:textId="47E0AA73" w:rsidR="006A2B81" w:rsidRPr="00F378D0" w:rsidRDefault="6618C548" w:rsidP="2AEF0F6D">
            <w:r w:rsidRPr="00F378D0">
              <w:t>1669</w:t>
            </w:r>
          </w:p>
        </w:tc>
        <w:tc>
          <w:tcPr>
            <w:tcW w:w="3006" w:type="dxa"/>
          </w:tcPr>
          <w:p w14:paraId="7CCE6D49" w14:textId="469A648C" w:rsidR="006A2B81" w:rsidRPr="00F378D0" w:rsidRDefault="6618C548" w:rsidP="2AEF0F6D">
            <w:r w:rsidRPr="00F378D0">
              <w:t>29, 624</w:t>
            </w:r>
          </w:p>
        </w:tc>
      </w:tr>
    </w:tbl>
    <w:p w14:paraId="2984E9FF" w14:textId="2A3399A3" w:rsidR="00657DA3" w:rsidRPr="00F378D0" w:rsidRDefault="00657DA3" w:rsidP="2AEF0F6D">
      <w:pPr>
        <w:pStyle w:val="Heading4"/>
        <w:rPr>
          <w:color w:val="auto"/>
        </w:rPr>
      </w:pPr>
    </w:p>
    <w:p w14:paraId="303C0779" w14:textId="2C091C9D" w:rsidR="00D77686" w:rsidRPr="00F378D0" w:rsidRDefault="5655C7D2" w:rsidP="2AEF0F6D">
      <w:r w:rsidRPr="00F378D0">
        <w:t xml:space="preserve">Data </w:t>
      </w:r>
      <w:r w:rsidR="296AA8EE" w:rsidRPr="00F378D0">
        <w:t xml:space="preserve">on </w:t>
      </w:r>
      <w:r w:rsidR="7C1B9E69" w:rsidRPr="00F378D0">
        <w:t xml:space="preserve">police recorded crime </w:t>
      </w:r>
      <w:r w:rsidR="494BCFA9" w:rsidRPr="00F378D0">
        <w:t xml:space="preserve">recorded by the Home Office </w:t>
      </w:r>
      <w:r w:rsidR="296AA8EE" w:rsidRPr="00F378D0">
        <w:t xml:space="preserve">shows that </w:t>
      </w:r>
      <w:r w:rsidR="70FB73FC" w:rsidRPr="00F378D0">
        <w:t>there were 12,900 offences classed as exposure and voyeurism (88E)</w:t>
      </w:r>
      <w:r w:rsidR="610CA56F" w:rsidRPr="00F378D0">
        <w:t xml:space="preserve"> in England and Wales between January and December 2023</w:t>
      </w:r>
      <w:r w:rsidR="1B854CCB" w:rsidRPr="00F378D0">
        <w:t>.</w:t>
      </w:r>
      <w:r w:rsidR="00A0758F" w:rsidRPr="00F378D0">
        <w:rPr>
          <w:rStyle w:val="FootnoteReference"/>
        </w:rPr>
        <w:footnoteReference w:id="59"/>
      </w:r>
      <w:r w:rsidR="6618C548" w:rsidRPr="00F378D0">
        <w:t xml:space="preserve"> </w:t>
      </w:r>
      <w:r w:rsidR="0003549E" w:rsidRPr="00F378D0">
        <w:br/>
      </w:r>
      <w:r w:rsidR="0035447C" w:rsidRPr="00F378D0">
        <w:rPr>
          <w:rFonts w:cstheme="minorHAnsi"/>
        </w:rPr>
        <w:br/>
      </w:r>
      <w:r w:rsidR="7730C161" w:rsidRPr="00F378D0">
        <w:t>The introduction of the Voyeurism (Offences) Act 2019, an amendment of the Sexual Offences Act 2003 to make upskirting a specific offence of voyeurism.</w:t>
      </w:r>
      <w:r w:rsidR="3E970932" w:rsidRPr="00F378D0">
        <w:t xml:space="preserve"> </w:t>
      </w:r>
      <w:r w:rsidR="7730C161" w:rsidRPr="00F378D0">
        <w:t>Official data relating to voyeurism</w:t>
      </w:r>
      <w:r w:rsidR="3E970932" w:rsidRPr="00F378D0">
        <w:t xml:space="preserve"> prosecution rates are</w:t>
      </w:r>
      <w:r w:rsidR="7730C161" w:rsidRPr="00F378D0">
        <w:t xml:space="preserve"> not routinely published by the CPS, however we know that in its second year (April 2020-June 2021) there were 47 individuals prosecuted by for 128 offences which is more than double the amount of in the year prior. This release outlined shops as the most common place for these </w:t>
      </w:r>
      <w:r w:rsidR="5E655F80" w:rsidRPr="00F378D0">
        <w:t>offences and</w:t>
      </w:r>
      <w:r w:rsidR="7730C161" w:rsidRPr="00F378D0">
        <w:t xml:space="preserve"> revealed that of those convicted a third of offenders were also committing other sexual offences.</w:t>
      </w:r>
      <w:r w:rsidR="00544EEE" w:rsidRPr="00F378D0">
        <w:rPr>
          <w:rStyle w:val="FootnoteReference"/>
        </w:rPr>
        <w:footnoteReference w:id="60"/>
      </w:r>
      <w:r w:rsidR="09B462E9" w:rsidRPr="00F378D0">
        <w:t xml:space="preserve"> </w:t>
      </w:r>
      <w:r w:rsidR="410755EF" w:rsidRPr="00F378D0">
        <w:t xml:space="preserve">A FOI request </w:t>
      </w:r>
      <w:r w:rsidR="006D1F11" w:rsidRPr="00F378D0">
        <w:t xml:space="preserve">made to the CPS </w:t>
      </w:r>
      <w:r w:rsidR="410755EF" w:rsidRPr="00F378D0">
        <w:t xml:space="preserve">revealed that since ‘upskirting’ was made </w:t>
      </w:r>
      <w:r w:rsidR="78834CA5" w:rsidRPr="00F378D0">
        <w:t xml:space="preserve">a specific offence there have </w:t>
      </w:r>
      <w:r w:rsidR="006D1F11" w:rsidRPr="00F378D0">
        <w:t>323</w:t>
      </w:r>
      <w:r w:rsidR="0E83EA45" w:rsidRPr="00F378D0">
        <w:t xml:space="preserve"> charged offences resulting in convictions </w:t>
      </w:r>
      <w:r w:rsidR="267451FE" w:rsidRPr="00F378D0">
        <w:t xml:space="preserve">that have had a first hearing at </w:t>
      </w:r>
      <w:r w:rsidR="517CCA42" w:rsidRPr="00F378D0">
        <w:t>magistrates'</w:t>
      </w:r>
      <w:r w:rsidR="267451FE" w:rsidRPr="00F378D0">
        <w:t xml:space="preserve"> court</w:t>
      </w:r>
      <w:r w:rsidR="006D1F11" w:rsidRPr="00F378D0">
        <w:t xml:space="preserve"> as of April 2023.</w:t>
      </w:r>
      <w:r w:rsidR="267451FE" w:rsidRPr="00F378D0">
        <w:t xml:space="preserve"> </w:t>
      </w:r>
      <w:r w:rsidR="00922186" w:rsidRPr="00F378D0">
        <w:rPr>
          <w:rStyle w:val="FootnoteReference"/>
        </w:rPr>
        <w:footnoteReference w:id="61"/>
      </w:r>
    </w:p>
    <w:p w14:paraId="2E290793" w14:textId="1868708F" w:rsidR="00FC378E" w:rsidRPr="00F378D0" w:rsidRDefault="1CA5B85E" w:rsidP="2AEF0F6D">
      <w:r w:rsidRPr="00F378D0">
        <w:t xml:space="preserve">January </w:t>
      </w:r>
      <w:r w:rsidR="5739A442" w:rsidRPr="00F378D0">
        <w:t xml:space="preserve">2024 </w:t>
      </w:r>
      <w:r w:rsidRPr="00F378D0">
        <w:t>saw</w:t>
      </w:r>
      <w:r w:rsidR="5739A442" w:rsidRPr="00F378D0">
        <w:t xml:space="preserve"> the introduction of new legislation </w:t>
      </w:r>
      <w:r w:rsidR="5E655F80" w:rsidRPr="00F378D0">
        <w:t>around</w:t>
      </w:r>
      <w:r w:rsidR="5739A442" w:rsidRPr="00F378D0">
        <w:t xml:space="preserve"> non-consensual image sharing</w:t>
      </w:r>
      <w:r w:rsidR="76660991" w:rsidRPr="00F378D0">
        <w:t>, which has been expanded through the Online Safety Act</w:t>
      </w:r>
      <w:r w:rsidR="4C7B20E9" w:rsidRPr="00F378D0">
        <w:t xml:space="preserve"> </w:t>
      </w:r>
      <w:r w:rsidR="722C425F" w:rsidRPr="00F378D0">
        <w:t>and reworded to “</w:t>
      </w:r>
      <w:r w:rsidR="464E58C8" w:rsidRPr="00F378D0">
        <w:t>sharing and threatening to share intimate images.</w:t>
      </w:r>
      <w:r w:rsidR="35DDF564" w:rsidRPr="00F378D0">
        <w:t>” This expansion includes the creation of “</w:t>
      </w:r>
      <w:r w:rsidR="4C7B20E9" w:rsidRPr="00F378D0">
        <w:t>deepfakes</w:t>
      </w:r>
      <w:r w:rsidR="35DDF564" w:rsidRPr="00F378D0">
        <w:t>” and “down-blousing”</w:t>
      </w:r>
      <w:r w:rsidR="4C7B20E9" w:rsidRPr="00F378D0">
        <w:t xml:space="preserve"> and</w:t>
      </w:r>
      <w:r w:rsidR="2620C0A0" w:rsidRPr="00F378D0">
        <w:t xml:space="preserve"> includes </w:t>
      </w:r>
      <w:r w:rsidR="04723276" w:rsidRPr="00F378D0">
        <w:t>cyberflashing</w:t>
      </w:r>
      <w:r w:rsidR="43E2B3E7" w:rsidRPr="00F378D0">
        <w:t xml:space="preserve"> as a new offence. Th</w:t>
      </w:r>
      <w:r w:rsidR="6A203043" w:rsidRPr="00F378D0">
        <w:t>e new</w:t>
      </w:r>
      <w:r w:rsidR="43E2B3E7" w:rsidRPr="00F378D0">
        <w:t xml:space="preserve"> legislation is </w:t>
      </w:r>
      <w:r w:rsidR="4660FB79" w:rsidRPr="00F378D0">
        <w:t xml:space="preserve">part of a wider attempt to keep at pace with emerging forms of harm </w:t>
      </w:r>
      <w:r w:rsidR="4C7B20E9" w:rsidRPr="00F378D0">
        <w:t>because of</w:t>
      </w:r>
      <w:r w:rsidR="4660FB79" w:rsidRPr="00F378D0">
        <w:t xml:space="preserve"> </w:t>
      </w:r>
      <w:r w:rsidR="21761D47" w:rsidRPr="00F378D0">
        <w:t xml:space="preserve">the rapid development of technology including social media and AI. </w:t>
      </w:r>
      <w:r w:rsidRPr="00F378D0">
        <w:t>The first conviction for cyberflashing took place in February 2024</w:t>
      </w:r>
      <w:r w:rsidR="1CC639A5" w:rsidRPr="00F378D0">
        <w:t>.</w:t>
      </w:r>
      <w:r w:rsidR="25BA8B0B" w:rsidRPr="00F378D0">
        <w:t xml:space="preserve"> </w:t>
      </w:r>
    </w:p>
    <w:p w14:paraId="108DF02C" w14:textId="27B9E3D6" w:rsidR="008D45C5" w:rsidRPr="00F378D0" w:rsidRDefault="563D0150" w:rsidP="2AEF0F6D">
      <w:r w:rsidRPr="00F378D0">
        <w:t xml:space="preserve">Data from the CPS from 2022, which </w:t>
      </w:r>
      <w:r w:rsidR="44C45100" w:rsidRPr="00F378D0">
        <w:t xml:space="preserve">refers to the previous iteration of this offence amended via the Domestic Abuse Act 2021, </w:t>
      </w:r>
      <w:r w:rsidR="0428A679" w:rsidRPr="00F378D0">
        <w:t xml:space="preserve">reveals </w:t>
      </w:r>
      <w:r w:rsidR="44C45100" w:rsidRPr="00F378D0">
        <w:t>that there were 825 suspects were charged with 1,048 revenge porn offences between April 2020 and June 2022 </w:t>
      </w:r>
      <w:r w:rsidR="57A1CF19" w:rsidRPr="00F378D0">
        <w:t xml:space="preserve"> </w:t>
      </w:r>
      <w:r w:rsidR="00BA17DD" w:rsidRPr="00F378D0">
        <w:rPr>
          <w:rStyle w:val="FootnoteReference"/>
        </w:rPr>
        <w:footnoteReference w:id="62"/>
      </w:r>
    </w:p>
    <w:p w14:paraId="29FDBB00" w14:textId="773963B0" w:rsidR="001D0B42" w:rsidRPr="00F378D0" w:rsidRDefault="4C17C3F8" w:rsidP="2AEF0F6D">
      <w:r w:rsidRPr="00F378D0">
        <w:t>The Revenge Porn Helpline</w:t>
      </w:r>
      <w:r w:rsidR="59DAB166" w:rsidRPr="00F378D0">
        <w:t xml:space="preserve"> is part of the </w:t>
      </w:r>
      <w:r w:rsidR="5A8E975C" w:rsidRPr="00F378D0">
        <w:t xml:space="preserve">charity </w:t>
      </w:r>
      <w:proofErr w:type="spellStart"/>
      <w:proofErr w:type="gramStart"/>
      <w:r w:rsidR="5A8E975C" w:rsidRPr="00F378D0">
        <w:t>SWGfL</w:t>
      </w:r>
      <w:proofErr w:type="spellEnd"/>
      <w:r w:rsidR="5A8E975C" w:rsidRPr="00F378D0">
        <w:t>, and</w:t>
      </w:r>
      <w:proofErr w:type="gramEnd"/>
      <w:r w:rsidR="5A8E975C" w:rsidRPr="00F378D0">
        <w:t xml:space="preserve"> provides support those</w:t>
      </w:r>
      <w:r w:rsidR="7F2307B2" w:rsidRPr="00F378D0">
        <w:t xml:space="preserve"> aged 18+</w:t>
      </w:r>
      <w:r w:rsidR="5A8E975C" w:rsidRPr="00F378D0">
        <w:t xml:space="preserve"> impacted by image-based abuse. </w:t>
      </w:r>
      <w:r w:rsidR="246291C6" w:rsidRPr="00F378D0">
        <w:t xml:space="preserve">In 2023 </w:t>
      </w:r>
      <w:r w:rsidR="04F0F999" w:rsidRPr="00F378D0">
        <w:t xml:space="preserve">they </w:t>
      </w:r>
      <w:r w:rsidR="246291C6" w:rsidRPr="00F378D0">
        <w:t xml:space="preserve">received 19,000 </w:t>
      </w:r>
      <w:r w:rsidR="04F0F999" w:rsidRPr="00F378D0">
        <w:t>reports</w:t>
      </w:r>
      <w:r w:rsidR="246291C6" w:rsidRPr="00F378D0">
        <w:t>, an increase of 106% on the year prior</w:t>
      </w:r>
      <w:r w:rsidR="7E319E50" w:rsidRPr="00F378D0">
        <w:t>.</w:t>
      </w:r>
      <w:r w:rsidR="700C6959" w:rsidRPr="00F378D0">
        <w:t xml:space="preserve"> </w:t>
      </w:r>
      <w:r w:rsidR="00494E2F" w:rsidRPr="00F378D0">
        <w:rPr>
          <w:rStyle w:val="FootnoteReference"/>
        </w:rPr>
        <w:footnoteReference w:id="63"/>
      </w:r>
    </w:p>
    <w:p w14:paraId="54F52983" w14:textId="2B3C9AFB" w:rsidR="009E6953" w:rsidRPr="00D9272E" w:rsidRDefault="5EB56F33" w:rsidP="2AEF0F6D">
      <w:pPr>
        <w:pStyle w:val="Heading4"/>
        <w:rPr>
          <w:b/>
          <w:bCs/>
          <w:color w:val="1F4E79" w:themeColor="accent5" w:themeShade="80"/>
        </w:rPr>
      </w:pPr>
      <w:r w:rsidRPr="00D9272E">
        <w:rPr>
          <w:b/>
          <w:bCs/>
          <w:color w:val="1F4E79" w:themeColor="accent5" w:themeShade="80"/>
        </w:rPr>
        <w:t>Local data:</w:t>
      </w:r>
    </w:p>
    <w:p w14:paraId="2F5BA997" w14:textId="2C33A4BF" w:rsidR="00877F7D" w:rsidRPr="00F378D0" w:rsidRDefault="00877F7D" w:rsidP="2AEF0F6D">
      <w:r w:rsidRPr="00F378D0">
        <w:br/>
      </w:r>
      <w:r w:rsidR="5EB56F33" w:rsidRPr="00F378D0">
        <w:t>Local data in this area is limited</w:t>
      </w:r>
      <w:r w:rsidR="13EFA32B" w:rsidRPr="00F378D0">
        <w:t xml:space="preserve">, in part because these forms of harm are </w:t>
      </w:r>
      <w:r w:rsidR="6957733E" w:rsidRPr="00F378D0">
        <w:t>emerging and new</w:t>
      </w:r>
      <w:r w:rsidR="1764483F" w:rsidRPr="00F378D0">
        <w:t xml:space="preserve">ly legislated against. </w:t>
      </w:r>
      <w:r w:rsidR="3336CA0F" w:rsidRPr="00F378D0">
        <w:t>South Yorkshire Police</w:t>
      </w:r>
      <w:r w:rsidR="33A239C7" w:rsidRPr="00F378D0">
        <w:t xml:space="preserve"> (SYP)</w:t>
      </w:r>
      <w:r w:rsidR="3336CA0F" w:rsidRPr="00F378D0">
        <w:t xml:space="preserve"> </w:t>
      </w:r>
      <w:r w:rsidR="1764483F" w:rsidRPr="00F378D0">
        <w:t xml:space="preserve">recorded incidents </w:t>
      </w:r>
      <w:r w:rsidR="3336CA0F" w:rsidRPr="00F378D0">
        <w:t xml:space="preserve">published by the Home Office showed </w:t>
      </w:r>
      <w:r w:rsidR="5EB56F33" w:rsidRPr="00F378D0">
        <w:t>that there were 58 recorded offences</w:t>
      </w:r>
      <w:r w:rsidR="3336CA0F" w:rsidRPr="00F378D0">
        <w:t xml:space="preserve"> of exposure and voyeurism in </w:t>
      </w:r>
      <w:r w:rsidR="13EFA32B" w:rsidRPr="00F378D0">
        <w:t>2023.</w:t>
      </w:r>
      <w:r w:rsidR="00BA17DD" w:rsidRPr="00F378D0">
        <w:rPr>
          <w:rStyle w:val="FootnoteReference"/>
        </w:rPr>
        <w:footnoteReference w:id="64"/>
      </w:r>
      <w:r w:rsidR="1764483F" w:rsidRPr="00F378D0">
        <w:t xml:space="preserve"> </w:t>
      </w:r>
      <w:r w:rsidR="478CA48E" w:rsidRPr="00F378D0">
        <w:t xml:space="preserve">We also know from an FOI submitted to SYP this year that </w:t>
      </w:r>
      <w:r w:rsidR="4C17C3F8" w:rsidRPr="00F378D0">
        <w:t xml:space="preserve">in 2023 </w:t>
      </w:r>
      <w:r w:rsidR="00BD5958" w:rsidRPr="00F378D0">
        <w:t xml:space="preserve">267 </w:t>
      </w:r>
      <w:r w:rsidR="150CD233" w:rsidRPr="00F378D0">
        <w:t>offences</w:t>
      </w:r>
      <w:r w:rsidR="65701CE3" w:rsidRPr="00F378D0">
        <w:t xml:space="preserve"> were recorded under the previous ‘revenge porn’ legislation. Of thes</w:t>
      </w:r>
      <w:r w:rsidR="0C88D3A3" w:rsidRPr="00F378D0">
        <w:t>e only 9 reached an outcome of charged/summonsed</w:t>
      </w:r>
      <w:r w:rsidR="4EE22785" w:rsidRPr="00F378D0">
        <w:t>.</w:t>
      </w:r>
      <w:r w:rsidR="009D33F7" w:rsidRPr="00F378D0">
        <w:rPr>
          <w:rStyle w:val="FootnoteReference"/>
        </w:rPr>
        <w:footnoteReference w:id="65"/>
      </w:r>
    </w:p>
    <w:p w14:paraId="56C20501" w14:textId="5F407C1A" w:rsidR="00C75107" w:rsidRPr="00D9272E" w:rsidRDefault="00C75107" w:rsidP="0045413B">
      <w:pPr>
        <w:pStyle w:val="Heading4"/>
        <w:rPr>
          <w:rStyle w:val="Strong"/>
          <w:color w:val="1F4E79" w:themeColor="accent5" w:themeShade="80"/>
        </w:rPr>
      </w:pPr>
      <w:r w:rsidRPr="00D9272E">
        <w:rPr>
          <w:rStyle w:val="Strong"/>
          <w:color w:val="1F4E79" w:themeColor="accent5" w:themeShade="80"/>
        </w:rPr>
        <w:t xml:space="preserve">Spiking: </w:t>
      </w:r>
    </w:p>
    <w:p w14:paraId="0F175356" w14:textId="7512A95D" w:rsidR="0034190A" w:rsidRPr="00F378D0" w:rsidRDefault="2792AF25" w:rsidP="2AEF0F6D">
      <w:r w:rsidRPr="00F378D0">
        <w:t xml:space="preserve">Spiking is currently not a standalone criminal offence, it is charged and prosecuted under two mains pieces of legislation: the Offences against the Person Act 1861, and Sexual Offences Act 2003. </w:t>
      </w:r>
      <w:r w:rsidR="0034190A" w:rsidRPr="00F378D0">
        <w:rPr>
          <w:rStyle w:val="FootnoteReference"/>
        </w:rPr>
        <w:footnoteReference w:id="66"/>
      </w:r>
      <w:r w:rsidRPr="00F378D0">
        <w:t xml:space="preserve"> The later, the most relevant to this needs assessment, is written as “administering etc. a substance with intent to engage in a non-consensual sexual activity”. </w:t>
      </w:r>
      <w:r w:rsidR="50988CA4" w:rsidRPr="00F378D0">
        <w:t xml:space="preserve">However, the Kings Speech in </w:t>
      </w:r>
      <w:r w:rsidR="21465D2A" w:rsidRPr="00F378D0">
        <w:t xml:space="preserve">June 2024 outlined that </w:t>
      </w:r>
      <w:r w:rsidR="7943C04C" w:rsidRPr="00F378D0">
        <w:t xml:space="preserve">spiking will be made a standalone offence. </w:t>
      </w:r>
    </w:p>
    <w:p w14:paraId="5297AD07" w14:textId="31708161" w:rsidR="00254181" w:rsidRPr="00D9272E" w:rsidRDefault="00254181" w:rsidP="00254181">
      <w:pPr>
        <w:pStyle w:val="Heading4"/>
        <w:rPr>
          <w:b/>
          <w:bCs/>
          <w:color w:val="1F4E79" w:themeColor="accent5" w:themeShade="80"/>
        </w:rPr>
      </w:pPr>
      <w:r w:rsidRPr="00D9272E">
        <w:rPr>
          <w:b/>
          <w:bCs/>
          <w:color w:val="1F4E79" w:themeColor="accent5" w:themeShade="80"/>
        </w:rPr>
        <w:t xml:space="preserve">National data: </w:t>
      </w:r>
    </w:p>
    <w:p w14:paraId="795137AA" w14:textId="74DA44B8" w:rsidR="00572352" w:rsidRPr="00F378D0" w:rsidRDefault="000F491B" w:rsidP="0013130B">
      <w:r w:rsidRPr="00F378D0">
        <w:t xml:space="preserve">Official statistics on spiking are not routinely </w:t>
      </w:r>
      <w:r w:rsidR="000C3807" w:rsidRPr="00F378D0">
        <w:t xml:space="preserve">published, but following lockdown a large amount of public interest grew in this area. </w:t>
      </w:r>
      <w:r w:rsidR="008F644F" w:rsidRPr="00F378D0">
        <w:t xml:space="preserve">In the year ending April 2023 the </w:t>
      </w:r>
      <w:r w:rsidR="00513F9E" w:rsidRPr="00F378D0">
        <w:t xml:space="preserve">NPCC reported that </w:t>
      </w:r>
      <w:r w:rsidR="008F644F" w:rsidRPr="00F378D0">
        <w:t>police received 6,732 reports of spiking, 957 relating to needle spiking.</w:t>
      </w:r>
      <w:r w:rsidR="001656BF" w:rsidRPr="00F378D0">
        <w:rPr>
          <w:rStyle w:val="FootnoteReference"/>
        </w:rPr>
        <w:footnoteReference w:id="67"/>
      </w:r>
      <w:r w:rsidR="00B632A1" w:rsidRPr="00F378D0">
        <w:t xml:space="preserve"> </w:t>
      </w:r>
    </w:p>
    <w:p w14:paraId="1EF95871" w14:textId="766C3C8B" w:rsidR="004C6532" w:rsidRPr="00F378D0" w:rsidRDefault="001656BF" w:rsidP="005B2714">
      <w:r w:rsidRPr="00F378D0">
        <w:t>Further d</w:t>
      </w:r>
      <w:r w:rsidR="0013130B" w:rsidRPr="00F378D0">
        <w:t xml:space="preserve">ata obtained from an FOI request </w:t>
      </w:r>
      <w:r w:rsidR="00C207BA" w:rsidRPr="00F378D0">
        <w:t xml:space="preserve">from Channel 4 </w:t>
      </w:r>
      <w:r w:rsidR="00D168FC" w:rsidRPr="00F378D0">
        <w:t xml:space="preserve">in 2023 revealed that almost 20,000 reports of spiking were received in the past five years by 39 police forces. </w:t>
      </w:r>
    </w:p>
    <w:p w14:paraId="35CBF9BE" w14:textId="41A28028" w:rsidR="00896913" w:rsidRPr="00F378D0" w:rsidRDefault="747B9846" w:rsidP="2AEF0F6D">
      <w:r w:rsidRPr="00F378D0">
        <w:t xml:space="preserve">An FOI made to the CPS in 2024 </w:t>
      </w:r>
      <w:r w:rsidR="362EE959" w:rsidRPr="00F378D0">
        <w:t xml:space="preserve">revealed that </w:t>
      </w:r>
      <w:r w:rsidR="64D80494" w:rsidRPr="00F378D0">
        <w:t>between 2018 and September 2023 there were</w:t>
      </w:r>
      <w:r w:rsidR="1AC82D7C" w:rsidRPr="00F378D0">
        <w:t xml:space="preserve"> </w:t>
      </w:r>
      <w:r w:rsidR="037561B2" w:rsidRPr="00F378D0">
        <w:t xml:space="preserve">98 charges </w:t>
      </w:r>
      <w:r w:rsidR="44B98F66" w:rsidRPr="00F378D0">
        <w:t>that made</w:t>
      </w:r>
      <w:r w:rsidR="3E3A6502" w:rsidRPr="00F378D0">
        <w:t xml:space="preserve"> a</w:t>
      </w:r>
      <w:r w:rsidR="44B98F66" w:rsidRPr="00F378D0">
        <w:t xml:space="preserve"> </w:t>
      </w:r>
      <w:r w:rsidR="3E3A6502" w:rsidRPr="00F378D0">
        <w:t xml:space="preserve">magistrate first hearing under the </w:t>
      </w:r>
      <w:r w:rsidR="538AC2B8" w:rsidRPr="00F378D0">
        <w:t>Sexual Offences Act 2023</w:t>
      </w:r>
      <w:r w:rsidR="0AE8B375" w:rsidRPr="00F378D0">
        <w:t xml:space="preserve"> related to spiking</w:t>
      </w:r>
      <w:r w:rsidR="65280318" w:rsidRPr="00F378D0">
        <w:t>, but only 17 convictions</w:t>
      </w:r>
      <w:r w:rsidR="0AE8B375" w:rsidRPr="00F378D0">
        <w:t xml:space="preserve"> </w:t>
      </w:r>
      <w:r w:rsidR="007B0FD5" w:rsidRPr="00F378D0">
        <w:rPr>
          <w:rStyle w:val="FootnoteReference"/>
        </w:rPr>
        <w:footnoteReference w:id="68"/>
      </w:r>
    </w:p>
    <w:p w14:paraId="05CF0D9D" w14:textId="2581311B" w:rsidR="0013130B" w:rsidRPr="00D9272E" w:rsidRDefault="00254181" w:rsidP="0013130B">
      <w:pPr>
        <w:pStyle w:val="Heading4"/>
        <w:rPr>
          <w:b/>
          <w:bCs/>
        </w:rPr>
      </w:pPr>
      <w:r w:rsidRPr="00D9272E">
        <w:rPr>
          <w:b/>
          <w:bCs/>
        </w:rPr>
        <w:t>Regional data:</w:t>
      </w:r>
    </w:p>
    <w:p w14:paraId="6251494B" w14:textId="759A33AA" w:rsidR="00705C7D" w:rsidRDefault="00705C7D" w:rsidP="00705C7D">
      <w:pPr>
        <w:spacing w:line="256" w:lineRule="auto"/>
        <w:rPr>
          <w:rFonts w:cstheme="minorHAnsi"/>
        </w:rPr>
      </w:pPr>
      <w:r>
        <w:rPr>
          <w:rFonts w:cstheme="minorHAnsi"/>
        </w:rPr>
        <w:br/>
      </w:r>
      <w:r w:rsidR="002B1C8E">
        <w:rPr>
          <w:rFonts w:cstheme="minorHAnsi"/>
        </w:rPr>
        <w:t xml:space="preserve">In </w:t>
      </w:r>
      <w:r w:rsidR="009F2071">
        <w:rPr>
          <w:rFonts w:cstheme="minorHAnsi"/>
        </w:rPr>
        <w:t xml:space="preserve">June </w:t>
      </w:r>
      <w:r w:rsidR="002B1C8E">
        <w:rPr>
          <w:rFonts w:cstheme="minorHAnsi"/>
        </w:rPr>
        <w:t xml:space="preserve">2023 </w:t>
      </w:r>
      <w:r w:rsidR="00D43BDC">
        <w:rPr>
          <w:rFonts w:cstheme="minorHAnsi"/>
        </w:rPr>
        <w:t xml:space="preserve">an </w:t>
      </w:r>
      <w:r w:rsidR="002B1C8E">
        <w:rPr>
          <w:rFonts w:cstheme="minorHAnsi"/>
        </w:rPr>
        <w:t>FOI request</w:t>
      </w:r>
      <w:r w:rsidR="00D43BDC">
        <w:rPr>
          <w:rFonts w:cstheme="minorHAnsi"/>
        </w:rPr>
        <w:t xml:space="preserve"> </w:t>
      </w:r>
      <w:r w:rsidR="002B1C8E">
        <w:rPr>
          <w:rFonts w:cstheme="minorHAnsi"/>
        </w:rPr>
        <w:t>w</w:t>
      </w:r>
      <w:r w:rsidR="00D43BDC">
        <w:rPr>
          <w:rFonts w:cstheme="minorHAnsi"/>
        </w:rPr>
        <w:t>as</w:t>
      </w:r>
      <w:r w:rsidR="002B1C8E">
        <w:rPr>
          <w:rFonts w:cstheme="minorHAnsi"/>
        </w:rPr>
        <w:t xml:space="preserve"> made to SYP in relation to </w:t>
      </w:r>
      <w:r w:rsidR="00D43BDC">
        <w:rPr>
          <w:rFonts w:cstheme="minorHAnsi"/>
        </w:rPr>
        <w:t xml:space="preserve">drink </w:t>
      </w:r>
      <w:r w:rsidR="002B1C8E">
        <w:rPr>
          <w:rFonts w:cstheme="minorHAnsi"/>
        </w:rPr>
        <w:t>spiking</w:t>
      </w:r>
      <w:r w:rsidR="00B81CC3">
        <w:rPr>
          <w:rStyle w:val="FootnoteReference"/>
          <w:rFonts w:cstheme="minorHAnsi"/>
        </w:rPr>
        <w:footnoteReference w:id="69"/>
      </w:r>
      <w:r w:rsidR="002B1C8E">
        <w:rPr>
          <w:rFonts w:cstheme="minorHAnsi"/>
        </w:rPr>
        <w:t>.</w:t>
      </w:r>
      <w:r w:rsidR="00036743">
        <w:rPr>
          <w:rFonts w:cstheme="minorHAnsi"/>
        </w:rPr>
        <w:t xml:space="preserve"> From th</w:t>
      </w:r>
      <w:r w:rsidR="00D43BDC">
        <w:rPr>
          <w:rFonts w:cstheme="minorHAnsi"/>
        </w:rPr>
        <w:t>is</w:t>
      </w:r>
      <w:r w:rsidR="00036743">
        <w:rPr>
          <w:rFonts w:cstheme="minorHAnsi"/>
        </w:rPr>
        <w:t xml:space="preserve"> request</w:t>
      </w:r>
      <w:r w:rsidR="001C6DC2">
        <w:rPr>
          <w:rFonts w:cstheme="minorHAnsi"/>
        </w:rPr>
        <w:t xml:space="preserve"> we know:</w:t>
      </w:r>
    </w:p>
    <w:p w14:paraId="4AB6A9C1" w14:textId="0446F76C" w:rsidR="001C6DC2" w:rsidRPr="00A1015E" w:rsidRDefault="001C6DC2" w:rsidP="00B67805">
      <w:pPr>
        <w:pStyle w:val="ListParagraph"/>
        <w:numPr>
          <w:ilvl w:val="0"/>
          <w:numId w:val="8"/>
        </w:numPr>
        <w:spacing w:line="256" w:lineRule="auto"/>
        <w:rPr>
          <w:rFonts w:cstheme="minorHAnsi"/>
        </w:rPr>
      </w:pPr>
      <w:r w:rsidRPr="00A1015E">
        <w:rPr>
          <w:rFonts w:cstheme="minorHAnsi"/>
        </w:rPr>
        <w:t>In 2021 there were 276 recorded incidents of</w:t>
      </w:r>
      <w:r w:rsidR="00D43BDC" w:rsidRPr="00A1015E">
        <w:rPr>
          <w:rFonts w:cstheme="minorHAnsi"/>
        </w:rPr>
        <w:t xml:space="preserve"> drink</w:t>
      </w:r>
      <w:r w:rsidRPr="00A1015E">
        <w:rPr>
          <w:rFonts w:cstheme="minorHAnsi"/>
        </w:rPr>
        <w:t xml:space="preserve"> spiking. </w:t>
      </w:r>
    </w:p>
    <w:p w14:paraId="4C2D122C" w14:textId="42B09891" w:rsidR="001C6DC2" w:rsidRPr="00A1015E" w:rsidRDefault="001C6DC2" w:rsidP="00B67805">
      <w:pPr>
        <w:pStyle w:val="ListParagraph"/>
        <w:numPr>
          <w:ilvl w:val="0"/>
          <w:numId w:val="8"/>
        </w:numPr>
        <w:spacing w:line="256" w:lineRule="auto"/>
        <w:rPr>
          <w:rFonts w:cstheme="minorHAnsi"/>
        </w:rPr>
      </w:pPr>
      <w:r w:rsidRPr="00A1015E">
        <w:rPr>
          <w:rFonts w:cstheme="minorHAnsi"/>
        </w:rPr>
        <w:t xml:space="preserve">In 2022 there were 320 recorded incidents of </w:t>
      </w:r>
      <w:r w:rsidR="00D43BDC" w:rsidRPr="00A1015E">
        <w:rPr>
          <w:rFonts w:cstheme="minorHAnsi"/>
        </w:rPr>
        <w:t xml:space="preserve">drink </w:t>
      </w:r>
      <w:r w:rsidRPr="00A1015E">
        <w:rPr>
          <w:rFonts w:cstheme="minorHAnsi"/>
        </w:rPr>
        <w:t xml:space="preserve">spiking. </w:t>
      </w:r>
    </w:p>
    <w:p w14:paraId="07A6AC4E" w14:textId="3DD697FB" w:rsidR="001C6DC2" w:rsidRPr="00A1015E" w:rsidRDefault="001C6DC2" w:rsidP="00B67805">
      <w:pPr>
        <w:pStyle w:val="ListParagraph"/>
        <w:numPr>
          <w:ilvl w:val="0"/>
          <w:numId w:val="8"/>
        </w:numPr>
        <w:spacing w:line="256" w:lineRule="auto"/>
        <w:rPr>
          <w:rFonts w:cstheme="minorHAnsi"/>
        </w:rPr>
      </w:pPr>
      <w:r w:rsidRPr="00A1015E">
        <w:rPr>
          <w:rFonts w:cstheme="minorHAnsi"/>
        </w:rPr>
        <w:t xml:space="preserve">In 2023 </w:t>
      </w:r>
      <w:r w:rsidR="006E4D61" w:rsidRPr="00A1015E">
        <w:rPr>
          <w:rFonts w:cstheme="minorHAnsi"/>
        </w:rPr>
        <w:t xml:space="preserve">(January-May only) there </w:t>
      </w:r>
      <w:r w:rsidR="0041461E" w:rsidRPr="00A1015E">
        <w:rPr>
          <w:rFonts w:cstheme="minorHAnsi"/>
        </w:rPr>
        <w:t>were 73</w:t>
      </w:r>
      <w:r w:rsidR="006E4D61" w:rsidRPr="00A1015E">
        <w:rPr>
          <w:rFonts w:cstheme="minorHAnsi"/>
        </w:rPr>
        <w:t xml:space="preserve"> recorded incidents of </w:t>
      </w:r>
      <w:r w:rsidR="00D43BDC" w:rsidRPr="00A1015E">
        <w:rPr>
          <w:rFonts w:cstheme="minorHAnsi"/>
        </w:rPr>
        <w:t xml:space="preserve">drink </w:t>
      </w:r>
      <w:r w:rsidR="006E4D61" w:rsidRPr="00A1015E">
        <w:rPr>
          <w:rFonts w:cstheme="minorHAnsi"/>
        </w:rPr>
        <w:t xml:space="preserve">spiking. </w:t>
      </w:r>
    </w:p>
    <w:p w14:paraId="48B606EC" w14:textId="1F568F1B" w:rsidR="00462580" w:rsidRDefault="00D43BDC" w:rsidP="00705C7D">
      <w:pPr>
        <w:spacing w:line="256" w:lineRule="auto"/>
        <w:rPr>
          <w:rFonts w:cstheme="minorHAnsi"/>
        </w:rPr>
      </w:pPr>
      <w:r>
        <w:rPr>
          <w:rFonts w:cstheme="minorHAnsi"/>
        </w:rPr>
        <w:t xml:space="preserve">In a following </w:t>
      </w:r>
      <w:r w:rsidR="002B4F6F">
        <w:rPr>
          <w:rFonts w:cstheme="minorHAnsi"/>
        </w:rPr>
        <w:t xml:space="preserve">FOI </w:t>
      </w:r>
      <w:r>
        <w:rPr>
          <w:rFonts w:cstheme="minorHAnsi"/>
        </w:rPr>
        <w:t>request</w:t>
      </w:r>
      <w:r w:rsidR="002B4F6F">
        <w:rPr>
          <w:rStyle w:val="FootnoteReference"/>
          <w:rFonts w:cstheme="minorHAnsi"/>
        </w:rPr>
        <w:footnoteReference w:id="70"/>
      </w:r>
      <w:r>
        <w:rPr>
          <w:rFonts w:cstheme="minorHAnsi"/>
        </w:rPr>
        <w:t xml:space="preserve">, the </w:t>
      </w:r>
      <w:r w:rsidR="0041461E">
        <w:rPr>
          <w:rFonts w:cstheme="minorHAnsi"/>
        </w:rPr>
        <w:t xml:space="preserve">2022 data </w:t>
      </w:r>
      <w:r>
        <w:rPr>
          <w:rFonts w:cstheme="minorHAnsi"/>
        </w:rPr>
        <w:t xml:space="preserve">was later requested to include both recorded drink and injection spiking </w:t>
      </w:r>
      <w:r w:rsidR="00955102">
        <w:rPr>
          <w:rFonts w:cstheme="minorHAnsi"/>
        </w:rPr>
        <w:t xml:space="preserve">across each month. </w:t>
      </w:r>
      <w:r w:rsidR="00462580">
        <w:rPr>
          <w:rFonts w:cstheme="minorHAnsi"/>
        </w:rPr>
        <w:t xml:space="preserve"> </w:t>
      </w:r>
    </w:p>
    <w:p w14:paraId="36FBFF71" w14:textId="08949F75" w:rsidR="00705C7D" w:rsidRDefault="001A6D6B" w:rsidP="00705C7D">
      <w:pPr>
        <w:spacing w:line="256" w:lineRule="auto"/>
        <w:rPr>
          <w:rFonts w:cstheme="minorHAnsi"/>
        </w:rPr>
      </w:pPr>
      <w:r>
        <w:rPr>
          <w:noProof/>
        </w:rPr>
        <w:drawing>
          <wp:inline distT="0" distB="0" distL="0" distR="0" wp14:anchorId="10961225" wp14:editId="33CA5AE8">
            <wp:extent cx="4820856" cy="1904035"/>
            <wp:effectExtent l="0" t="0" r="18415" b="1270"/>
            <wp:docPr id="1804010015" name="Chart 1" descr="A graph showing the trends in drink and injection spiking recorded by the police in 2022.">
              <a:extLst xmlns:a="http://schemas.openxmlformats.org/drawingml/2006/main">
                <a:ext uri="{FF2B5EF4-FFF2-40B4-BE49-F238E27FC236}">
                  <a16:creationId xmlns:a16="http://schemas.microsoft.com/office/drawing/2014/main" id="{BF55A5FA-C7B1-6583-61F7-04241B16AD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7CDAE04" w14:textId="11D75377" w:rsidR="0059214D" w:rsidRPr="001D11D8" w:rsidRDefault="0016006C" w:rsidP="0045413B">
      <w:pPr>
        <w:pStyle w:val="Style2"/>
      </w:pPr>
      <w:r w:rsidRPr="001D11D8">
        <w:t>Impact of spiking:</w:t>
      </w:r>
    </w:p>
    <w:p w14:paraId="506CBC3F" w14:textId="6EEDCB2C" w:rsidR="00B8462B" w:rsidRPr="00F378D0" w:rsidRDefault="5D471DDC" w:rsidP="2AEF0F6D">
      <w:r w:rsidRPr="00F378D0">
        <w:t>There is a lack of research on the</w:t>
      </w:r>
      <w:r w:rsidR="2E1A08A1" w:rsidRPr="00F378D0">
        <w:t xml:space="preserve"> </w:t>
      </w:r>
      <w:r w:rsidR="56625492" w:rsidRPr="00F378D0">
        <w:t>prevalence</w:t>
      </w:r>
      <w:r w:rsidR="2E1A08A1" w:rsidRPr="00F378D0">
        <w:t xml:space="preserve"> and</w:t>
      </w:r>
      <w:r w:rsidRPr="00F378D0">
        <w:t xml:space="preserve"> impact of spiking </w:t>
      </w:r>
      <w:r w:rsidR="56625492" w:rsidRPr="00F378D0">
        <w:t>with a recent review stating that more focused research is needed to accurately estimate the prevalence of spiking</w:t>
      </w:r>
      <w:r w:rsidR="29442F78" w:rsidRPr="00F378D0">
        <w:t xml:space="preserve"> and</w:t>
      </w:r>
      <w:r w:rsidR="399C570B" w:rsidRPr="00F378D0">
        <w:t xml:space="preserve"> underlying motivations.</w:t>
      </w:r>
      <w:r w:rsidR="00D25B87" w:rsidRPr="00F378D0">
        <w:rPr>
          <w:rStyle w:val="FootnoteReference"/>
        </w:rPr>
        <w:footnoteReference w:id="71"/>
      </w:r>
    </w:p>
    <w:p w14:paraId="1C090DBD" w14:textId="31EAA624" w:rsidR="0016006C" w:rsidRPr="00F378D0" w:rsidRDefault="6A3BCA16" w:rsidP="2AEF0F6D">
      <w:r w:rsidRPr="00F378D0">
        <w:t xml:space="preserve">A recent </w:t>
      </w:r>
      <w:r w:rsidR="21CA24DA" w:rsidRPr="00F378D0">
        <w:t xml:space="preserve">study </w:t>
      </w:r>
      <w:r w:rsidR="1B3C24A1" w:rsidRPr="00F378D0">
        <w:t>exploring the increase in spiking</w:t>
      </w:r>
      <w:r w:rsidR="23DD9FDE" w:rsidRPr="00F378D0">
        <w:t xml:space="preserve"> calls for spiking to be seen as a </w:t>
      </w:r>
      <w:r w:rsidR="30D6101D" w:rsidRPr="00F378D0">
        <w:t>traumatic event and treated with this lens</w:t>
      </w:r>
      <w:r w:rsidR="5E93645A" w:rsidRPr="00F378D0">
        <w:t xml:space="preserve"> even in absence </w:t>
      </w:r>
      <w:r w:rsidR="2AF7DC6C" w:rsidRPr="00F378D0">
        <w:t xml:space="preserve">of sexual or physical harm. </w:t>
      </w:r>
      <w:r w:rsidR="5945ACE3" w:rsidRPr="00F378D0">
        <w:t xml:space="preserve">It outlines that the psychological impact of spiking </w:t>
      </w:r>
      <w:r w:rsidR="66D27A38" w:rsidRPr="00F378D0">
        <w:t xml:space="preserve">given the absence of clear memory, which is associated with the development of PTSD. </w:t>
      </w:r>
      <w:r w:rsidR="2699AAB6" w:rsidRPr="00F378D0">
        <w:t>This study has</w:t>
      </w:r>
      <w:r w:rsidR="21CA24DA" w:rsidRPr="00F378D0">
        <w:t xml:space="preserve"> highlighted that </w:t>
      </w:r>
      <w:r w:rsidR="2157F9BF" w:rsidRPr="00F378D0">
        <w:t xml:space="preserve">the </w:t>
      </w:r>
      <w:r w:rsidR="6D1D8010" w:rsidRPr="00F378D0">
        <w:t xml:space="preserve">flaws in </w:t>
      </w:r>
      <w:r w:rsidR="2157F9BF" w:rsidRPr="00F378D0">
        <w:t xml:space="preserve">current guidance around spiking, which indicates </w:t>
      </w:r>
      <w:r w:rsidR="754BB0F6" w:rsidRPr="00F378D0">
        <w:t xml:space="preserve">that current guidance around </w:t>
      </w:r>
      <w:r w:rsidR="3E3ED54B" w:rsidRPr="00F378D0">
        <w:t xml:space="preserve">testing if “clinically indicated” and a lack of psychological support and </w:t>
      </w:r>
      <w:r w:rsidR="6D1D8010" w:rsidRPr="00F378D0">
        <w:t>support pathways</w:t>
      </w:r>
      <w:r w:rsidR="754BB0F6" w:rsidRPr="00F378D0">
        <w:t>.</w:t>
      </w:r>
      <w:r w:rsidR="00CC12CB" w:rsidRPr="00F378D0">
        <w:rPr>
          <w:rStyle w:val="FootnoteReference"/>
        </w:rPr>
        <w:footnoteReference w:id="72"/>
      </w:r>
    </w:p>
    <w:p w14:paraId="36F75AE5" w14:textId="55739DF2" w:rsidR="00CF74B0" w:rsidRPr="00F378D0" w:rsidRDefault="00321910" w:rsidP="0045413B">
      <w:pPr>
        <w:pStyle w:val="Style2"/>
      </w:pPr>
      <w:r w:rsidRPr="00F378D0">
        <w:t xml:space="preserve">Sexual exploitation: </w:t>
      </w:r>
    </w:p>
    <w:p w14:paraId="2956B5D0" w14:textId="7D45E159" w:rsidR="004A1558" w:rsidRPr="00F378D0" w:rsidRDefault="0565BC3C" w:rsidP="2AEF0F6D">
      <w:r w:rsidRPr="00F378D0">
        <w:t xml:space="preserve">Unlike child sexual exploitation which has had a statutory definition since 2017, there is no legal definition of adult sexual exploitation in the UK and therefore in no national level data collected. The Spicer Review published in 2018 </w:t>
      </w:r>
      <w:proofErr w:type="gramStart"/>
      <w:r w:rsidRPr="00F378D0">
        <w:t>in light of</w:t>
      </w:r>
      <w:proofErr w:type="gramEnd"/>
      <w:r w:rsidRPr="00F378D0">
        <w:t xml:space="preserve"> sexual exploitation of children and adults in the </w:t>
      </w:r>
      <w:proofErr w:type="gramStart"/>
      <w:r w:rsidRPr="00F378D0">
        <w:t>North East</w:t>
      </w:r>
      <w:proofErr w:type="gramEnd"/>
      <w:r w:rsidRPr="00F378D0">
        <w:t>, highlighted the adult sexual exploitation was often not recognised in adults.</w:t>
      </w:r>
      <w:r w:rsidR="004A1558" w:rsidRPr="00F378D0">
        <w:rPr>
          <w:rStyle w:val="FootnoteReference"/>
        </w:rPr>
        <w:footnoteReference w:id="73"/>
      </w:r>
      <w:r w:rsidRPr="00F378D0">
        <w:t xml:space="preserve"> </w:t>
      </w:r>
    </w:p>
    <w:p w14:paraId="5A2C11C3" w14:textId="280FCFCC" w:rsidR="00321910" w:rsidRPr="00D9272E" w:rsidRDefault="00933041" w:rsidP="00321910">
      <w:pPr>
        <w:rPr>
          <w:b/>
          <w:bCs/>
          <w:i/>
          <w:iCs/>
          <w:color w:val="1F4E79" w:themeColor="accent5" w:themeShade="80"/>
        </w:rPr>
      </w:pPr>
      <w:r w:rsidRPr="00D9272E">
        <w:rPr>
          <w:b/>
          <w:bCs/>
          <w:i/>
          <w:iCs/>
          <w:color w:val="1F4E79" w:themeColor="accent5" w:themeShade="80"/>
        </w:rPr>
        <w:t>National data:</w:t>
      </w:r>
    </w:p>
    <w:p w14:paraId="6B23FE29" w14:textId="737FCB76" w:rsidR="0000011F" w:rsidRPr="00F378D0" w:rsidRDefault="09BDF585" w:rsidP="2AEF0F6D">
      <w:r w:rsidRPr="00F378D0">
        <w:t>However, a</w:t>
      </w:r>
      <w:r w:rsidR="0DEEFE21" w:rsidRPr="00F378D0">
        <w:t xml:space="preserve"> report by the STAGE Partnership, </w:t>
      </w:r>
      <w:r w:rsidR="40E67496" w:rsidRPr="00F378D0">
        <w:t xml:space="preserve">now </w:t>
      </w:r>
      <w:r w:rsidR="35363C95" w:rsidRPr="00F378D0">
        <w:t>called the Adult Sexual Exploitation (ASE) Partnership</w:t>
      </w:r>
      <w:r w:rsidR="6039C82D" w:rsidRPr="00F378D0">
        <w:t xml:space="preserve">, </w:t>
      </w:r>
      <w:r w:rsidR="4C241C05" w:rsidRPr="00F378D0">
        <w:t xml:space="preserve">which operates across the North of England </w:t>
      </w:r>
      <w:r w:rsidR="77B21083" w:rsidRPr="00F378D0">
        <w:t xml:space="preserve">shows that they </w:t>
      </w:r>
      <w:r w:rsidR="4C241C05" w:rsidRPr="00F378D0">
        <w:t xml:space="preserve">supported </w:t>
      </w:r>
      <w:r w:rsidR="7CE4EE27" w:rsidRPr="00F378D0">
        <w:t>805</w:t>
      </w:r>
      <w:r w:rsidR="4C241C05" w:rsidRPr="00F378D0">
        <w:t xml:space="preserve"> women </w:t>
      </w:r>
      <w:r w:rsidR="7CE4EE27" w:rsidRPr="00F378D0">
        <w:t xml:space="preserve">have been supported since it was formed in 2019. </w:t>
      </w:r>
      <w:r w:rsidRPr="00F378D0">
        <w:t xml:space="preserve">75% of these women had </w:t>
      </w:r>
      <w:r w:rsidR="0B21AEAE" w:rsidRPr="00F378D0">
        <w:t xml:space="preserve">experienced exploitation that started in adulthood. </w:t>
      </w:r>
      <w:r w:rsidR="00162C80" w:rsidRPr="00F378D0">
        <w:rPr>
          <w:rStyle w:val="FootnoteReference"/>
        </w:rPr>
        <w:footnoteReference w:id="74"/>
      </w:r>
    </w:p>
    <w:p w14:paraId="07924767" w14:textId="4F93974A" w:rsidR="00323878" w:rsidRDefault="42AFE30F" w:rsidP="2AEF0F6D">
      <w:r w:rsidRPr="2AEF0F6D">
        <w:t xml:space="preserve">As there is not a single criminal offence related to sexual exploitation there is </w:t>
      </w:r>
      <w:r w:rsidR="7EB286B9" w:rsidRPr="2AEF0F6D">
        <w:t>no reliable data in this area. However, we do know that sexual exploitation often overlaps wi</w:t>
      </w:r>
      <w:r w:rsidR="522687A0" w:rsidRPr="2AEF0F6D">
        <w:t>th other areas such as VAWG, sex work and prostitution</w:t>
      </w:r>
      <w:r w:rsidR="7CE40289" w:rsidRPr="2AEF0F6D">
        <w:t xml:space="preserve">, </w:t>
      </w:r>
      <w:r w:rsidR="0CD7283A" w:rsidRPr="2AEF0F6D">
        <w:t>modern slavery</w:t>
      </w:r>
      <w:r w:rsidR="7CE40289" w:rsidRPr="2AEF0F6D">
        <w:t xml:space="preserve"> and </w:t>
      </w:r>
      <w:r w:rsidR="76A04027" w:rsidRPr="2AEF0F6D">
        <w:t xml:space="preserve">human trafficking. </w:t>
      </w:r>
    </w:p>
    <w:p w14:paraId="12D83B76" w14:textId="77777777" w:rsidR="0045413B" w:rsidRPr="001D11D8" w:rsidRDefault="0045413B" w:rsidP="2AEF0F6D">
      <w:pPr>
        <w:rPr>
          <w:color w:val="1F4E79" w:themeColor="accent5" w:themeShade="80"/>
        </w:rPr>
      </w:pPr>
    </w:p>
    <w:p w14:paraId="4A9EB244" w14:textId="79E4B9E6" w:rsidR="00CF74B0" w:rsidRPr="00D9272E" w:rsidRDefault="003F11F0" w:rsidP="00BB2DDA">
      <w:pPr>
        <w:pStyle w:val="Heading4"/>
        <w:rPr>
          <w:b/>
          <w:bCs/>
          <w:color w:val="1F4E79" w:themeColor="accent5" w:themeShade="80"/>
        </w:rPr>
      </w:pPr>
      <w:r w:rsidRPr="00D9272E">
        <w:rPr>
          <w:b/>
          <w:bCs/>
          <w:color w:val="1F4E79" w:themeColor="accent5" w:themeShade="80"/>
        </w:rPr>
        <w:t>Local data:</w:t>
      </w:r>
    </w:p>
    <w:p w14:paraId="6D84F3A6" w14:textId="3B7A9C00" w:rsidR="000C1770" w:rsidRPr="00BB2DDA" w:rsidRDefault="00316C2D" w:rsidP="2AEF0F6D">
      <w:pPr>
        <w:spacing w:line="256" w:lineRule="auto"/>
        <w:rPr>
          <w:color w:val="5B9BD5" w:themeColor="accent5"/>
        </w:rPr>
      </w:pPr>
      <w:r>
        <w:br/>
      </w:r>
      <w:r w:rsidR="76A04027" w:rsidRPr="2AEF0F6D">
        <w:t xml:space="preserve">As outlined previously </w:t>
      </w:r>
      <w:r w:rsidR="786781E9" w:rsidRPr="2AEF0F6D">
        <w:t xml:space="preserve">the lack of a consistent definition means that there is no reliable data in this area. </w:t>
      </w:r>
      <w:r w:rsidR="7A24ED90" w:rsidRPr="2AEF0F6D">
        <w:t>Across South Yorkshire</w:t>
      </w:r>
      <w:r w:rsidR="0A21329F" w:rsidRPr="2AEF0F6D">
        <w:t xml:space="preserve"> there are multiple providers who provide support for sexual exploitation </w:t>
      </w:r>
      <w:r w:rsidR="7A24ED90" w:rsidRPr="2AEF0F6D">
        <w:t xml:space="preserve">including Ashiana, </w:t>
      </w:r>
      <w:r w:rsidR="33E103B7" w:rsidRPr="2AEF0F6D">
        <w:t xml:space="preserve">Changing Lives and the Snowdrop Project. </w:t>
      </w:r>
    </w:p>
    <w:p w14:paraId="588F9E58" w14:textId="306DAB9D" w:rsidR="00705C7D" w:rsidRPr="00B60BAB" w:rsidRDefault="00B60BAB" w:rsidP="00705C7D">
      <w:pPr>
        <w:spacing w:line="256" w:lineRule="auto"/>
        <w:rPr>
          <w:rFonts w:cstheme="minorHAnsi"/>
          <w:b/>
          <w:bCs/>
        </w:rPr>
      </w:pPr>
      <w:r w:rsidRPr="00F378D0">
        <w:rPr>
          <w:rFonts w:cstheme="minorHAnsi"/>
          <w:b/>
          <w:bCs/>
        </w:rPr>
        <w:t xml:space="preserve">Recommendation: To </w:t>
      </w:r>
      <w:r w:rsidR="00D86DFC" w:rsidRPr="00F378D0">
        <w:rPr>
          <w:rFonts w:cstheme="minorHAnsi"/>
          <w:b/>
          <w:bCs/>
        </w:rPr>
        <w:t xml:space="preserve">undertake further work </w:t>
      </w:r>
      <w:r w:rsidR="00D50366" w:rsidRPr="00F378D0">
        <w:rPr>
          <w:rFonts w:cstheme="minorHAnsi"/>
          <w:b/>
          <w:bCs/>
        </w:rPr>
        <w:t>during</w:t>
      </w:r>
      <w:r w:rsidR="00D86DFC" w:rsidRPr="00F378D0">
        <w:rPr>
          <w:rFonts w:cstheme="minorHAnsi"/>
          <w:b/>
          <w:bCs/>
        </w:rPr>
        <w:t xml:space="preserve"> the strategy t</w:t>
      </w:r>
      <w:r w:rsidR="00D50366" w:rsidRPr="00F378D0">
        <w:rPr>
          <w:rFonts w:cstheme="minorHAnsi"/>
          <w:b/>
          <w:bCs/>
        </w:rPr>
        <w:t>imeframe t</w:t>
      </w:r>
      <w:r w:rsidR="00D86DFC" w:rsidRPr="00F378D0">
        <w:rPr>
          <w:rFonts w:cstheme="minorHAnsi"/>
          <w:b/>
          <w:bCs/>
        </w:rPr>
        <w:t>o better understand</w:t>
      </w:r>
      <w:r w:rsidR="00316C2D" w:rsidRPr="00F378D0">
        <w:rPr>
          <w:rFonts w:cstheme="minorHAnsi"/>
          <w:b/>
          <w:bCs/>
        </w:rPr>
        <w:t xml:space="preserve"> the prevalence and</w:t>
      </w:r>
      <w:r w:rsidR="00D86DFC" w:rsidRPr="00F378D0">
        <w:rPr>
          <w:rFonts w:cstheme="minorHAnsi"/>
          <w:b/>
          <w:bCs/>
        </w:rPr>
        <w:t xml:space="preserve"> needs of those </w:t>
      </w:r>
      <w:r w:rsidR="00D50366" w:rsidRPr="00F378D0">
        <w:rPr>
          <w:rFonts w:cstheme="minorHAnsi"/>
          <w:b/>
          <w:bCs/>
        </w:rPr>
        <w:t xml:space="preserve">who experience these lesser understood forms of </w:t>
      </w:r>
      <w:r w:rsidR="00316C2D" w:rsidRPr="00F378D0">
        <w:rPr>
          <w:rFonts w:cstheme="minorHAnsi"/>
          <w:b/>
          <w:bCs/>
        </w:rPr>
        <w:t xml:space="preserve">sexual violence </w:t>
      </w:r>
      <w:r w:rsidR="00D16DB8" w:rsidRPr="00F378D0">
        <w:rPr>
          <w:rFonts w:cstheme="minorHAnsi"/>
          <w:b/>
          <w:bCs/>
        </w:rPr>
        <w:t>in scope of the strategy</w:t>
      </w:r>
      <w:r w:rsidR="00D50366" w:rsidRPr="00F378D0">
        <w:rPr>
          <w:rFonts w:cstheme="minorHAnsi"/>
          <w:b/>
          <w:bCs/>
        </w:rPr>
        <w:t>.</w:t>
      </w:r>
    </w:p>
    <w:p w14:paraId="5E4FBA5E" w14:textId="0C6DE5E0" w:rsidR="00FC18BF" w:rsidRDefault="00FC18BF">
      <w:pPr>
        <w:rPr>
          <w:rFonts w:cstheme="minorHAnsi"/>
        </w:rPr>
      </w:pPr>
    </w:p>
    <w:p w14:paraId="535FD0E0" w14:textId="705D162D" w:rsidR="005F1988" w:rsidRDefault="00254181" w:rsidP="00254181">
      <w:pPr>
        <w:pStyle w:val="Style2"/>
      </w:pPr>
      <w:r>
        <w:t>Support for victims of sexual violence:</w:t>
      </w:r>
    </w:p>
    <w:p w14:paraId="29552689" w14:textId="625C8687" w:rsidR="000B2379" w:rsidRPr="00D9272E" w:rsidRDefault="000B2379" w:rsidP="00BB2DDA">
      <w:pPr>
        <w:pStyle w:val="Heading3"/>
        <w:rPr>
          <w:b/>
          <w:bCs/>
        </w:rPr>
      </w:pPr>
      <w:r w:rsidRPr="00D9272E">
        <w:rPr>
          <w:b/>
          <w:bCs/>
        </w:rPr>
        <w:t>Sexual assault referral centres (SARCs):</w:t>
      </w:r>
    </w:p>
    <w:p w14:paraId="3A4370EE" w14:textId="77777777" w:rsidR="00C73829" w:rsidRDefault="000B2379" w:rsidP="000B2379">
      <w:pPr>
        <w:rPr>
          <w:shd w:val="clear" w:color="auto" w:fill="FFFFFF"/>
        </w:rPr>
      </w:pPr>
      <w:r>
        <w:t xml:space="preserve">The NHS is responsible nationally for commissioning sexual assault referral centres. </w:t>
      </w:r>
      <w:r>
        <w:rPr>
          <w:shd w:val="clear" w:color="auto" w:fill="FFFFFF"/>
        </w:rPr>
        <w:t> They offer a range of services, including crisis care, medical and forensic examinations, emergency contraception and testing for sexually transmitted infections.</w:t>
      </w:r>
    </w:p>
    <w:p w14:paraId="474107AA" w14:textId="374C9FF1" w:rsidR="00C73829" w:rsidRDefault="001B0480" w:rsidP="000B2379">
      <w:pPr>
        <w:rPr>
          <w:shd w:val="clear" w:color="auto" w:fill="FFFFFF"/>
        </w:rPr>
      </w:pPr>
      <w:r>
        <w:rPr>
          <w:shd w:val="clear" w:color="auto" w:fill="FFFFFF"/>
        </w:rPr>
        <w:t>A survey found that 72% of people were unaware there are specialist NHS sexual assault services who can offer confidential support.</w:t>
      </w:r>
      <w:r>
        <w:rPr>
          <w:rStyle w:val="FootnoteReference"/>
          <w:shd w:val="clear" w:color="auto" w:fill="FFFFFF"/>
        </w:rPr>
        <w:footnoteReference w:id="75"/>
      </w:r>
      <w:r>
        <w:rPr>
          <w:shd w:val="clear" w:color="auto" w:fill="FFFFFF"/>
        </w:rPr>
        <w:t xml:space="preserve"> I</w:t>
      </w:r>
      <w:r w:rsidR="00C73829">
        <w:rPr>
          <w:shd w:val="clear" w:color="auto" w:fill="FFFFFF"/>
        </w:rPr>
        <w:t xml:space="preserve">n 2022 the NHS ran a targeted campaign to raise awareness of SARCs as the </w:t>
      </w:r>
      <w:r w:rsidR="00C73829" w:rsidRPr="00C73829">
        <w:rPr>
          <w:shd w:val="clear" w:color="auto" w:fill="FFFFFF"/>
        </w:rPr>
        <w:t>number of people accessing SARCs halved after the first lockdown compared with the previous year, despite official figures showing that domestic abuse and sexual assault and abuse increased.</w:t>
      </w:r>
    </w:p>
    <w:p w14:paraId="2FA7B744" w14:textId="616E1F0F" w:rsidR="000B2379" w:rsidRDefault="001B0480" w:rsidP="000B2379">
      <w:pPr>
        <w:rPr>
          <w:shd w:val="clear" w:color="auto" w:fill="FFFFFF"/>
        </w:rPr>
      </w:pPr>
      <w:r>
        <w:rPr>
          <w:shd w:val="clear" w:color="auto" w:fill="FFFFFF"/>
        </w:rPr>
        <w:t>There is no national data on SARC referrals, but r</w:t>
      </w:r>
      <w:r w:rsidR="000B2379">
        <w:rPr>
          <w:shd w:val="clear" w:color="auto" w:fill="FFFFFF"/>
        </w:rPr>
        <w:t>esearch by Coventry University</w:t>
      </w:r>
      <w:r w:rsidR="00C73829">
        <w:rPr>
          <w:rStyle w:val="FootnoteReference"/>
          <w:shd w:val="clear" w:color="auto" w:fill="FFFFFF"/>
        </w:rPr>
        <w:footnoteReference w:id="76"/>
      </w:r>
      <w:r w:rsidR="000B2379">
        <w:rPr>
          <w:shd w:val="clear" w:color="auto" w:fill="FFFFFF"/>
        </w:rPr>
        <w:t xml:space="preserve"> </w:t>
      </w:r>
      <w:r w:rsidR="008C287C">
        <w:rPr>
          <w:shd w:val="clear" w:color="auto" w:fill="FFFFFF"/>
        </w:rPr>
        <w:t xml:space="preserve">suggested </w:t>
      </w:r>
      <w:r w:rsidR="000B2379">
        <w:rPr>
          <w:shd w:val="clear" w:color="auto" w:fill="FFFFFF"/>
        </w:rPr>
        <w:t>that:</w:t>
      </w:r>
    </w:p>
    <w:p w14:paraId="102E9736" w14:textId="25AA45E9" w:rsidR="000B2379" w:rsidRDefault="000B2379" w:rsidP="00B67805">
      <w:pPr>
        <w:pStyle w:val="ListParagraph"/>
        <w:numPr>
          <w:ilvl w:val="0"/>
          <w:numId w:val="7"/>
        </w:numPr>
        <w:rPr>
          <w:shd w:val="clear" w:color="auto" w:fill="FFFFFF"/>
        </w:rPr>
      </w:pPr>
      <w:r w:rsidRPr="000B2379">
        <w:rPr>
          <w:shd w:val="clear" w:color="auto" w:fill="FFFFFF"/>
        </w:rPr>
        <w:t>23,888 people used SARC services in 2018/19.</w:t>
      </w:r>
    </w:p>
    <w:p w14:paraId="16CADF32" w14:textId="76AF18B9" w:rsidR="00C73829" w:rsidRDefault="00C73829" w:rsidP="00B67805">
      <w:pPr>
        <w:pStyle w:val="ListParagraph"/>
        <w:numPr>
          <w:ilvl w:val="0"/>
          <w:numId w:val="7"/>
        </w:numPr>
        <w:rPr>
          <w:shd w:val="clear" w:color="auto" w:fill="FFFFFF"/>
        </w:rPr>
      </w:pPr>
      <w:r>
        <w:rPr>
          <w:shd w:val="clear" w:color="auto" w:fill="FFFFFF"/>
        </w:rPr>
        <w:t xml:space="preserve">9/10 </w:t>
      </w:r>
      <w:r w:rsidRPr="00C73829">
        <w:rPr>
          <w:shd w:val="clear" w:color="auto" w:fill="FFFFFF"/>
        </w:rPr>
        <w:t>service users over 18 are women</w:t>
      </w:r>
      <w:r>
        <w:rPr>
          <w:shd w:val="clear" w:color="auto" w:fill="FFFFFF"/>
        </w:rPr>
        <w:t>.</w:t>
      </w:r>
    </w:p>
    <w:p w14:paraId="5D7EDE45" w14:textId="77E9F613" w:rsidR="00C73829" w:rsidRDefault="00C73829" w:rsidP="00B67805">
      <w:pPr>
        <w:pStyle w:val="ListParagraph"/>
        <w:numPr>
          <w:ilvl w:val="0"/>
          <w:numId w:val="7"/>
        </w:numPr>
        <w:rPr>
          <w:shd w:val="clear" w:color="auto" w:fill="FFFFFF"/>
        </w:rPr>
      </w:pPr>
      <w:r>
        <w:rPr>
          <w:shd w:val="clear" w:color="auto" w:fill="FFFFFF"/>
        </w:rPr>
        <w:t xml:space="preserve">Over 75% of adults and children that attend </w:t>
      </w:r>
      <w:proofErr w:type="gramStart"/>
      <w:r>
        <w:rPr>
          <w:shd w:val="clear" w:color="auto" w:fill="FFFFFF"/>
        </w:rPr>
        <w:t>are</w:t>
      </w:r>
      <w:proofErr w:type="gramEnd"/>
      <w:r>
        <w:rPr>
          <w:shd w:val="clear" w:color="auto" w:fill="FFFFFF"/>
        </w:rPr>
        <w:t xml:space="preserve"> White British. </w:t>
      </w:r>
    </w:p>
    <w:p w14:paraId="0AE2ADFD" w14:textId="17D1F497" w:rsidR="000B2379" w:rsidRPr="00C73829" w:rsidRDefault="00C73829" w:rsidP="00B67805">
      <w:pPr>
        <w:pStyle w:val="ListParagraph"/>
        <w:numPr>
          <w:ilvl w:val="0"/>
          <w:numId w:val="7"/>
        </w:numPr>
        <w:rPr>
          <w:shd w:val="clear" w:color="auto" w:fill="FFFFFF"/>
        </w:rPr>
      </w:pPr>
      <w:r>
        <w:rPr>
          <w:shd w:val="clear" w:color="auto" w:fill="FFFFFF"/>
        </w:rPr>
        <w:t xml:space="preserve">Most referrals to SARCs are via the police. </w:t>
      </w:r>
    </w:p>
    <w:p w14:paraId="08A38B1A" w14:textId="77777777" w:rsidR="00B82689" w:rsidRPr="00D9272E" w:rsidRDefault="005C1085" w:rsidP="005C1085">
      <w:pPr>
        <w:pStyle w:val="Heading4"/>
        <w:rPr>
          <w:b/>
          <w:bCs/>
          <w:color w:val="1F4E79" w:themeColor="accent5" w:themeShade="80"/>
        </w:rPr>
      </w:pPr>
      <w:r w:rsidRPr="00D9272E">
        <w:rPr>
          <w:b/>
          <w:bCs/>
          <w:color w:val="1F4E79" w:themeColor="accent5" w:themeShade="80"/>
        </w:rPr>
        <w:t>Hackenthorpe Lodge SARC:</w:t>
      </w:r>
    </w:p>
    <w:p w14:paraId="3B66BF40" w14:textId="77777777" w:rsidR="00A85DE5" w:rsidRPr="00BB2DDA" w:rsidRDefault="22B5B3F6" w:rsidP="2AEF0F6D">
      <w:pPr>
        <w:rPr>
          <w:color w:val="5B9BD5" w:themeColor="accent5"/>
        </w:rPr>
      </w:pPr>
      <w:r w:rsidRPr="001D11D8">
        <w:rPr>
          <w:color w:val="1F4E79" w:themeColor="accent5" w:themeShade="80"/>
        </w:rPr>
        <w:t>I</w:t>
      </w:r>
      <w:r w:rsidRPr="2AEF0F6D">
        <w:t xml:space="preserve">n Sheffield the commissioned SARC is at Hackenthorpe Lodge, which covers the region of South Yorkshire and Bassetlaw. </w:t>
      </w:r>
    </w:p>
    <w:p w14:paraId="4D5E3381" w14:textId="14B1C2B4" w:rsidR="004E184C" w:rsidRPr="00BB2DDA" w:rsidRDefault="4251DC7E" w:rsidP="2AEF0F6D">
      <w:pPr>
        <w:rPr>
          <w:color w:val="5B9BD5" w:themeColor="accent5"/>
        </w:rPr>
      </w:pPr>
      <w:r w:rsidRPr="2AEF0F6D">
        <w:t xml:space="preserve">Data </w:t>
      </w:r>
      <w:r w:rsidR="600FD371" w:rsidRPr="2AEF0F6D">
        <w:t xml:space="preserve">made available on the SARC usage in South Yorkshire </w:t>
      </w:r>
      <w:r w:rsidR="369464CC" w:rsidRPr="2AEF0F6D">
        <w:t xml:space="preserve">is outlined below. </w:t>
      </w:r>
    </w:p>
    <w:p w14:paraId="68FD1302" w14:textId="0A2E0D51" w:rsidR="00693DFA" w:rsidRPr="00BB2DDA" w:rsidRDefault="7C733AC5" w:rsidP="2AEF0F6D">
      <w:pPr>
        <w:rPr>
          <w:color w:val="5B9BD5" w:themeColor="accent5"/>
        </w:rPr>
      </w:pPr>
      <w:r w:rsidRPr="2AEF0F6D">
        <w:t xml:space="preserve">In 2023 there were 440 appointments by individuals across South Yorkshire. </w:t>
      </w:r>
    </w:p>
    <w:p w14:paraId="1B2A3A75" w14:textId="2E896F4B" w:rsidR="005C1085" w:rsidRPr="00BB2DDA" w:rsidRDefault="7C733AC5" w:rsidP="2AEF0F6D">
      <w:pPr>
        <w:rPr>
          <w:color w:val="5B9BD5" w:themeColor="accent5"/>
        </w:rPr>
      </w:pPr>
      <w:r w:rsidRPr="2AEF0F6D">
        <w:t xml:space="preserve">There were </w:t>
      </w:r>
      <w:r w:rsidR="22B5B3F6" w:rsidRPr="2AEF0F6D">
        <w:t>360 referrals between April- December 2023, and 319 appointments</w:t>
      </w:r>
      <w:r w:rsidRPr="2AEF0F6D">
        <w:t>, of these:</w:t>
      </w:r>
    </w:p>
    <w:p w14:paraId="3E11637C" w14:textId="1207A9C6" w:rsidR="005C1085" w:rsidRPr="00BB2DDA" w:rsidRDefault="1415EFD5" w:rsidP="2AEF0F6D">
      <w:pPr>
        <w:pStyle w:val="ListParagraph"/>
        <w:numPr>
          <w:ilvl w:val="1"/>
          <w:numId w:val="27"/>
        </w:numPr>
        <w:rPr>
          <w:color w:val="5B9BD5" w:themeColor="accent5"/>
        </w:rPr>
      </w:pPr>
      <w:r w:rsidRPr="2AEF0F6D">
        <w:t xml:space="preserve">The main referrer is </w:t>
      </w:r>
      <w:r w:rsidR="22B5B3F6" w:rsidRPr="2AEF0F6D">
        <w:t xml:space="preserve">South Yorkshire Police, at 65%. </w:t>
      </w:r>
    </w:p>
    <w:p w14:paraId="3C2262BD" w14:textId="1023498A" w:rsidR="005C1085" w:rsidRPr="00BB2DDA" w:rsidRDefault="22B5B3F6" w:rsidP="2AEF0F6D">
      <w:pPr>
        <w:pStyle w:val="ListParagraph"/>
        <w:numPr>
          <w:ilvl w:val="1"/>
          <w:numId w:val="27"/>
        </w:numPr>
        <w:rPr>
          <w:color w:val="5B9BD5" w:themeColor="accent5"/>
        </w:rPr>
      </w:pPr>
      <w:r w:rsidRPr="2AEF0F6D">
        <w:t xml:space="preserve">350 </w:t>
      </w:r>
      <w:r w:rsidR="7321D41F" w:rsidRPr="2AEF0F6D">
        <w:t xml:space="preserve">referrals </w:t>
      </w:r>
      <w:r w:rsidRPr="2AEF0F6D">
        <w:t xml:space="preserve">reported on gender; 324 were female, 22 were male, 1 was non-binary and 3 preferred not to say. </w:t>
      </w:r>
    </w:p>
    <w:p w14:paraId="0E32CC92" w14:textId="1486F0E2" w:rsidR="005C1085" w:rsidRPr="00BB2DDA" w:rsidRDefault="7321D41F" w:rsidP="2AEF0F6D">
      <w:pPr>
        <w:pStyle w:val="ListParagraph"/>
        <w:numPr>
          <w:ilvl w:val="1"/>
          <w:numId w:val="27"/>
        </w:numPr>
        <w:rPr>
          <w:color w:val="5B9BD5" w:themeColor="accent5"/>
        </w:rPr>
      </w:pPr>
      <w:r w:rsidRPr="2AEF0F6D">
        <w:t xml:space="preserve">Only </w:t>
      </w:r>
      <w:r w:rsidR="22B5B3F6" w:rsidRPr="2AEF0F6D">
        <w:t xml:space="preserve">191 </w:t>
      </w:r>
      <w:r w:rsidR="0AD22D42" w:rsidRPr="2AEF0F6D">
        <w:t xml:space="preserve">referrals </w:t>
      </w:r>
      <w:r w:rsidR="22B5B3F6" w:rsidRPr="2AEF0F6D">
        <w:t xml:space="preserve">reported on ethnicity; 161 were White, 10 were Black/Black British, 9 were Asian or British Asian, 7 were of mixed ethnicity, 3 were from another ethnic background and 1 preferred not to say. </w:t>
      </w:r>
    </w:p>
    <w:p w14:paraId="0F1194D1" w14:textId="77777777" w:rsidR="00E936ED" w:rsidRPr="00BB2DDA" w:rsidRDefault="22B5B3F6" w:rsidP="2AEF0F6D">
      <w:pPr>
        <w:rPr>
          <w:color w:val="5B9BD5" w:themeColor="accent5"/>
        </w:rPr>
      </w:pPr>
      <w:r w:rsidRPr="2AEF0F6D">
        <w:t xml:space="preserve">There </w:t>
      </w:r>
      <w:r w:rsidR="691E7F8E" w:rsidRPr="2AEF0F6D">
        <w:t xml:space="preserve">was </w:t>
      </w:r>
      <w:r w:rsidRPr="2AEF0F6D">
        <w:t>no data provided for this report on the nature of support and onward referrals</w:t>
      </w:r>
      <w:r w:rsidR="0AD22D42" w:rsidRPr="2AEF0F6D">
        <w:t xml:space="preserve"> and outcomes.</w:t>
      </w:r>
    </w:p>
    <w:p w14:paraId="4DDEC3B2" w14:textId="4FD80377" w:rsidR="005C1085" w:rsidRPr="00BB2DDA" w:rsidRDefault="0FC0267C" w:rsidP="2AEF0F6D">
      <w:pPr>
        <w:rPr>
          <w:color w:val="5B9BD5" w:themeColor="accent5"/>
        </w:rPr>
      </w:pPr>
      <w:r w:rsidRPr="2AEF0F6D">
        <w:t>Data from the DACT public consultation this summer revealed that just less than 10% of respondents were aware of Hackenthorpe Lodge</w:t>
      </w:r>
      <w:r w:rsidR="2F79DAA2" w:rsidRPr="2AEF0F6D">
        <w:t xml:space="preserve">, this figure rose to 21% when only looking at respondents who had experienced sexual violence. </w:t>
      </w:r>
    </w:p>
    <w:p w14:paraId="76066884" w14:textId="77777777" w:rsidR="005C1085" w:rsidRPr="00F378D0" w:rsidRDefault="005C1085" w:rsidP="005C1085">
      <w:pPr>
        <w:rPr>
          <w:b/>
          <w:bCs/>
        </w:rPr>
      </w:pPr>
      <w:r w:rsidRPr="00F378D0">
        <w:rPr>
          <w:b/>
          <w:bCs/>
        </w:rPr>
        <w:t xml:space="preserve">Recommendation: To build a better understanding of the awareness and use of the Sexual Assault Referral Centre in Sheffield. </w:t>
      </w:r>
    </w:p>
    <w:p w14:paraId="51212E81" w14:textId="6F188B34" w:rsidR="00F21CB8" w:rsidRPr="001D11D8" w:rsidRDefault="1DC1C571" w:rsidP="2AEF0F6D">
      <w:pPr>
        <w:rPr>
          <w:color w:val="1F4E79" w:themeColor="accent5" w:themeShade="80"/>
        </w:rPr>
      </w:pPr>
      <w:r w:rsidRPr="2AEF0F6D">
        <w:t>Data from Rape Crisis UK reveal that in 2022-2023, over 88,000 people accessed Rape Crisis services, including almost 40,000 new referrals. </w:t>
      </w:r>
    </w:p>
    <w:p w14:paraId="18D519B8" w14:textId="05CBFE89" w:rsidR="00561435" w:rsidRPr="00D9272E" w:rsidRDefault="00561435" w:rsidP="0085208C">
      <w:pPr>
        <w:pStyle w:val="Heading3"/>
        <w:rPr>
          <w:b/>
          <w:bCs/>
          <w:color w:val="1F4E79" w:themeColor="accent5" w:themeShade="80"/>
        </w:rPr>
      </w:pPr>
      <w:r w:rsidRPr="00D9272E">
        <w:rPr>
          <w:b/>
          <w:bCs/>
          <w:color w:val="1F4E79" w:themeColor="accent5" w:themeShade="80"/>
        </w:rPr>
        <w:t xml:space="preserve">Independent Sexual Violence Advocate Support: </w:t>
      </w:r>
    </w:p>
    <w:p w14:paraId="40D3C03B" w14:textId="3562A0C6" w:rsidR="00561435" w:rsidRPr="001D11D8" w:rsidRDefault="7ACC96C5" w:rsidP="2AEF0F6D">
      <w:pPr>
        <w:rPr>
          <w:color w:val="1F4E79" w:themeColor="accent5" w:themeShade="80"/>
        </w:rPr>
      </w:pPr>
      <w:r w:rsidRPr="2AEF0F6D">
        <w:t xml:space="preserve">ISVAs are </w:t>
      </w:r>
      <w:r w:rsidR="5247BCF2" w:rsidRPr="2AEF0F6D">
        <w:t xml:space="preserve">specialist professionals who provide information and support through the criminal justice process for people who have experienced sexual violence or abuse. </w:t>
      </w:r>
      <w:r w:rsidR="633499CE" w:rsidRPr="2AEF0F6D">
        <w:t>The ISVA role sits within commissioned provider of sexual violence support</w:t>
      </w:r>
      <w:r w:rsidR="51FA6DB1" w:rsidRPr="2AEF0F6D">
        <w:t xml:space="preserve">, </w:t>
      </w:r>
      <w:r w:rsidR="0E4EFFE8" w:rsidRPr="2AEF0F6D">
        <w:t xml:space="preserve">which are </w:t>
      </w:r>
      <w:r w:rsidR="5459F2C5" w:rsidRPr="2AEF0F6D">
        <w:t>most often charities</w:t>
      </w:r>
      <w:r w:rsidR="46711154" w:rsidRPr="2AEF0F6D">
        <w:t>, and often</w:t>
      </w:r>
      <w:r w:rsidR="5459F2C5" w:rsidRPr="2AEF0F6D">
        <w:t xml:space="preserve"> member organisations of</w:t>
      </w:r>
      <w:r w:rsidR="4588A6DF" w:rsidRPr="2AEF0F6D">
        <w:t xml:space="preserve"> national membership organisations such as</w:t>
      </w:r>
      <w:r w:rsidR="5459F2C5" w:rsidRPr="2AEF0F6D">
        <w:t xml:space="preserve"> Rape Crisis UK</w:t>
      </w:r>
      <w:r w:rsidR="2D54A0F4" w:rsidRPr="2AEF0F6D">
        <w:t xml:space="preserve"> and/or The Survivors Trust</w:t>
      </w:r>
      <w:r w:rsidR="68F5AF4E" w:rsidRPr="2AEF0F6D">
        <w:t xml:space="preserve">. In England they are </w:t>
      </w:r>
      <w:r w:rsidR="00F378D0" w:rsidRPr="2AEF0F6D">
        <w:t>most commissioned</w:t>
      </w:r>
      <w:r w:rsidR="68F5AF4E" w:rsidRPr="2AEF0F6D">
        <w:t xml:space="preserve"> by the regional Police and Crime Commissioner</w:t>
      </w:r>
      <w:r w:rsidR="3A1B5FC7" w:rsidRPr="2AEF0F6D">
        <w:t xml:space="preserve"> via central government funding.</w:t>
      </w:r>
    </w:p>
    <w:p w14:paraId="2285E1E6" w14:textId="54F0E029" w:rsidR="00503D2E" w:rsidRPr="001D11D8" w:rsidRDefault="00503D2E" w:rsidP="0085208C">
      <w:pPr>
        <w:rPr>
          <w:i/>
          <w:iCs/>
          <w:color w:val="1F4E79" w:themeColor="accent5" w:themeShade="80"/>
        </w:rPr>
      </w:pPr>
      <w:r w:rsidRPr="001D11D8">
        <w:rPr>
          <w:i/>
          <w:iCs/>
          <w:color w:val="1F4E79" w:themeColor="accent5" w:themeShade="80"/>
        </w:rPr>
        <w:t xml:space="preserve">National </w:t>
      </w:r>
      <w:r w:rsidR="00BC6B34" w:rsidRPr="001D11D8">
        <w:rPr>
          <w:i/>
          <w:iCs/>
          <w:color w:val="1F4E79" w:themeColor="accent5" w:themeShade="80"/>
        </w:rPr>
        <w:t>Support</w:t>
      </w:r>
      <w:r w:rsidRPr="001D11D8">
        <w:rPr>
          <w:i/>
          <w:iCs/>
          <w:color w:val="1F4E79" w:themeColor="accent5" w:themeShade="80"/>
        </w:rPr>
        <w:t>:</w:t>
      </w:r>
    </w:p>
    <w:p w14:paraId="74B49E7D" w14:textId="6C65236A" w:rsidR="00C5515B" w:rsidRPr="00BB2DDA" w:rsidRDefault="17A93363" w:rsidP="2AEF0F6D">
      <w:pPr>
        <w:rPr>
          <w:color w:val="5B9BD5" w:themeColor="accent5"/>
        </w:rPr>
      </w:pPr>
      <w:r w:rsidRPr="2AEF0F6D">
        <w:t xml:space="preserve">Given differences in </w:t>
      </w:r>
      <w:r w:rsidR="6ADF18FC" w:rsidRPr="2AEF0F6D">
        <w:t xml:space="preserve">localities and </w:t>
      </w:r>
      <w:r w:rsidRPr="2AEF0F6D">
        <w:t xml:space="preserve">commissioning </w:t>
      </w:r>
      <w:r w:rsidR="6ADF18FC" w:rsidRPr="2AEF0F6D">
        <w:t xml:space="preserve">arrangement </w:t>
      </w:r>
      <w:r w:rsidRPr="2AEF0F6D">
        <w:t xml:space="preserve">across England and Wales </w:t>
      </w:r>
      <w:r w:rsidR="72113C58" w:rsidRPr="2AEF0F6D">
        <w:t>there is a lack of national data about the</w:t>
      </w:r>
      <w:r w:rsidR="56179033" w:rsidRPr="2AEF0F6D">
        <w:t xml:space="preserve"> </w:t>
      </w:r>
      <w:r w:rsidR="7109DCDE" w:rsidRPr="2AEF0F6D">
        <w:t xml:space="preserve">scale and </w:t>
      </w:r>
      <w:r w:rsidR="56179033" w:rsidRPr="2AEF0F6D">
        <w:t xml:space="preserve">range of support ISVAs provide. </w:t>
      </w:r>
    </w:p>
    <w:p w14:paraId="197A3E1C" w14:textId="216F0747" w:rsidR="004F1B5C" w:rsidRPr="00F378D0" w:rsidRDefault="46711154" w:rsidP="2AEF0F6D">
      <w:r w:rsidRPr="00F378D0">
        <w:t>S</w:t>
      </w:r>
      <w:r w:rsidR="6ADF18FC" w:rsidRPr="00F378D0">
        <w:t>ome</w:t>
      </w:r>
      <w:r w:rsidRPr="00F378D0">
        <w:t xml:space="preserve"> further</w:t>
      </w:r>
      <w:r w:rsidR="6ADF18FC" w:rsidRPr="00F378D0">
        <w:t xml:space="preserve"> insight can be provided by Vi</w:t>
      </w:r>
      <w:r w:rsidR="01F281F2" w:rsidRPr="00F378D0">
        <w:t xml:space="preserve">ctim Support is a </w:t>
      </w:r>
      <w:r w:rsidR="56AF06C2" w:rsidRPr="00F378D0">
        <w:t>national charity supporting people who have experienced crime</w:t>
      </w:r>
      <w:r w:rsidR="6ADF18FC" w:rsidRPr="00F378D0">
        <w:t xml:space="preserve"> and traumatic events, who hold</w:t>
      </w:r>
      <w:r w:rsidR="421A4AA0" w:rsidRPr="00F378D0">
        <w:t xml:space="preserve"> several</w:t>
      </w:r>
      <w:r w:rsidR="6ADF18FC" w:rsidRPr="00F378D0">
        <w:t xml:space="preserve"> ISVA contracts across </w:t>
      </w:r>
      <w:r w:rsidR="421A4AA0" w:rsidRPr="00F378D0">
        <w:t xml:space="preserve">England and Wales. In the year ending March 2022, </w:t>
      </w:r>
      <w:r w:rsidR="77851F5F" w:rsidRPr="00F378D0">
        <w:t>Victim Support reported an increase in the number of referrals for sexual assault cases, 26,641 in the year ending March 2022</w:t>
      </w:r>
      <w:r w:rsidR="421A4AA0" w:rsidRPr="00F378D0">
        <w:t xml:space="preserve"> from 9,114 in the year ending March </w:t>
      </w:r>
      <w:r w:rsidR="7072A2BA" w:rsidRPr="00F378D0">
        <w:t>2017.</w:t>
      </w:r>
      <w:r w:rsidR="421A4AA0" w:rsidRPr="00F378D0">
        <w:t xml:space="preserve"> </w:t>
      </w:r>
      <w:r w:rsidR="77851F5F" w:rsidRPr="00F378D0">
        <w:t>of these referrals (around 80% each year) were for female victims. In the year ending March 2022, 53% of the victims supported were aged between 16 and 35 years.</w:t>
      </w:r>
      <w:r w:rsidR="00E1670A" w:rsidRPr="00F378D0">
        <w:rPr>
          <w:rStyle w:val="FootnoteReference"/>
        </w:rPr>
        <w:footnoteReference w:id="77"/>
      </w:r>
      <w:r w:rsidR="421A4AA0" w:rsidRPr="00F378D0">
        <w:t xml:space="preserve"> This provides </w:t>
      </w:r>
      <w:r w:rsidR="294CDF1B" w:rsidRPr="00F378D0">
        <w:t xml:space="preserve">some valuable insight into who is receiving ISVA </w:t>
      </w:r>
      <w:r w:rsidR="599CD280" w:rsidRPr="00F378D0">
        <w:t>support and</w:t>
      </w:r>
      <w:r w:rsidR="294CDF1B" w:rsidRPr="00F378D0">
        <w:t xml:space="preserve"> </w:t>
      </w:r>
      <w:r w:rsidR="01EFB7E9" w:rsidRPr="00F378D0">
        <w:t xml:space="preserve">demonstrates the victim demographics highlighted previously. </w:t>
      </w:r>
    </w:p>
    <w:p w14:paraId="1C581342" w14:textId="1181D13B" w:rsidR="008C097D" w:rsidRPr="00F52321" w:rsidRDefault="001B199C" w:rsidP="000B2BF1">
      <w:pPr>
        <w:rPr>
          <w:rFonts w:cstheme="minorHAnsi"/>
        </w:rPr>
      </w:pPr>
      <w:r>
        <w:rPr>
          <w:rFonts w:cstheme="minorHAnsi"/>
        </w:rPr>
        <w:t xml:space="preserve">As an organisation they have conducted some research into the support provided in a </w:t>
      </w:r>
      <w:r w:rsidR="000B2BF1" w:rsidRPr="00F52321">
        <w:rPr>
          <w:rFonts w:cstheme="minorHAnsi"/>
        </w:rPr>
        <w:t xml:space="preserve">pilot project </w:t>
      </w:r>
      <w:r>
        <w:rPr>
          <w:rFonts w:cstheme="minorHAnsi"/>
        </w:rPr>
        <w:t>with</w:t>
      </w:r>
      <w:r w:rsidR="000B2BF1" w:rsidRPr="00F52321">
        <w:rPr>
          <w:rFonts w:cstheme="minorHAnsi"/>
        </w:rPr>
        <w:t xml:space="preserve"> </w:t>
      </w:r>
      <w:r w:rsidR="008C097D" w:rsidRPr="00F52321">
        <w:rPr>
          <w:rFonts w:cstheme="minorHAnsi"/>
        </w:rPr>
        <w:t>Safe Lives</w:t>
      </w:r>
      <w:r w:rsidR="000B2BF1" w:rsidRPr="00F52321">
        <w:rPr>
          <w:rFonts w:cstheme="minorHAnsi"/>
        </w:rPr>
        <w:t xml:space="preserve"> </w:t>
      </w:r>
      <w:r>
        <w:rPr>
          <w:rFonts w:cstheme="minorHAnsi"/>
        </w:rPr>
        <w:t>to explore</w:t>
      </w:r>
      <w:r w:rsidR="008C097D" w:rsidRPr="00F52321">
        <w:rPr>
          <w:rFonts w:cstheme="minorHAnsi"/>
        </w:rPr>
        <w:t xml:space="preserve"> the support ISVAs provided</w:t>
      </w:r>
      <w:r w:rsidR="008C097D" w:rsidRPr="00F52321">
        <w:rPr>
          <w:rStyle w:val="FootnoteReference"/>
          <w:rFonts w:cstheme="minorHAnsi"/>
        </w:rPr>
        <w:footnoteReference w:id="78"/>
      </w:r>
      <w:r>
        <w:rPr>
          <w:rFonts w:cstheme="minorHAnsi"/>
        </w:rPr>
        <w:t xml:space="preserve">. This pilot </w:t>
      </w:r>
      <w:r w:rsidR="008C097D" w:rsidRPr="00F52321">
        <w:rPr>
          <w:rFonts w:cstheme="minorHAnsi"/>
        </w:rPr>
        <w:t>showed that:</w:t>
      </w:r>
    </w:p>
    <w:p w14:paraId="72D7015C" w14:textId="1F28384D" w:rsidR="008C097D" w:rsidRPr="00F52321" w:rsidRDefault="008C097D" w:rsidP="00B67805">
      <w:pPr>
        <w:pStyle w:val="ListParagraph"/>
        <w:numPr>
          <w:ilvl w:val="0"/>
          <w:numId w:val="5"/>
        </w:numPr>
        <w:rPr>
          <w:rFonts w:cstheme="minorHAnsi"/>
        </w:rPr>
      </w:pPr>
      <w:proofErr w:type="gramStart"/>
      <w:r w:rsidRPr="00F52321">
        <w:rPr>
          <w:rFonts w:cstheme="minorHAnsi"/>
        </w:rPr>
        <w:t>The majority of</w:t>
      </w:r>
      <w:proofErr w:type="gramEnd"/>
      <w:r w:rsidRPr="00F52321">
        <w:rPr>
          <w:rFonts w:cstheme="minorHAnsi"/>
        </w:rPr>
        <w:t xml:space="preserve"> victims were female (89%</w:t>
      </w:r>
      <w:proofErr w:type="gramStart"/>
      <w:r w:rsidRPr="00F52321">
        <w:rPr>
          <w:rFonts w:cstheme="minorHAnsi"/>
        </w:rPr>
        <w:t>)</w:t>
      </w:r>
      <w:proofErr w:type="gramEnd"/>
      <w:r w:rsidRPr="00F52321">
        <w:rPr>
          <w:rFonts w:cstheme="minorHAnsi"/>
        </w:rPr>
        <w:t xml:space="preserve"> and majority of perpetrators were male (98%).</w:t>
      </w:r>
    </w:p>
    <w:p w14:paraId="2C497127" w14:textId="6BB98D11" w:rsidR="008C097D" w:rsidRPr="00F52321" w:rsidRDefault="008C097D" w:rsidP="00B67805">
      <w:pPr>
        <w:pStyle w:val="ListParagraph"/>
        <w:numPr>
          <w:ilvl w:val="0"/>
          <w:numId w:val="5"/>
        </w:numPr>
        <w:rPr>
          <w:rFonts w:cstheme="minorHAnsi"/>
        </w:rPr>
      </w:pPr>
      <w:r w:rsidRPr="00F52321">
        <w:rPr>
          <w:rFonts w:cstheme="minorHAnsi"/>
        </w:rPr>
        <w:t xml:space="preserve">54% experienced sexual abuse as a one-off incident and 43% experienced sexual violence as </w:t>
      </w:r>
      <w:proofErr w:type="spellStart"/>
      <w:proofErr w:type="gramStart"/>
      <w:r w:rsidRPr="00F52321">
        <w:rPr>
          <w:rFonts w:cstheme="minorHAnsi"/>
        </w:rPr>
        <w:t>a</w:t>
      </w:r>
      <w:proofErr w:type="spellEnd"/>
      <w:proofErr w:type="gramEnd"/>
      <w:r w:rsidRPr="00F52321">
        <w:rPr>
          <w:rFonts w:cstheme="minorHAnsi"/>
        </w:rPr>
        <w:t xml:space="preserve"> on-going pattern of abuse. </w:t>
      </w:r>
    </w:p>
    <w:p w14:paraId="2F857484" w14:textId="4535C246" w:rsidR="008C097D" w:rsidRPr="00F52321" w:rsidRDefault="008C097D" w:rsidP="00B67805">
      <w:pPr>
        <w:pStyle w:val="ListParagraph"/>
        <w:numPr>
          <w:ilvl w:val="0"/>
          <w:numId w:val="5"/>
        </w:numPr>
        <w:rPr>
          <w:rFonts w:cstheme="minorHAnsi"/>
        </w:rPr>
      </w:pPr>
      <w:r w:rsidRPr="00F52321">
        <w:rPr>
          <w:rFonts w:cstheme="minorHAnsi"/>
        </w:rPr>
        <w:t xml:space="preserve">At the point of accessing a service, a large proportion of victims reported mental health issues and </w:t>
      </w:r>
      <w:r w:rsidR="001B199C" w:rsidRPr="00F52321">
        <w:rPr>
          <w:rFonts w:cstheme="minorHAnsi"/>
        </w:rPr>
        <w:t>several</w:t>
      </w:r>
      <w:r w:rsidRPr="00F52321">
        <w:rPr>
          <w:rFonts w:cstheme="minorHAnsi"/>
        </w:rPr>
        <w:t xml:space="preserve"> additional vulnerabilities. </w:t>
      </w:r>
    </w:p>
    <w:p w14:paraId="200AC2B5" w14:textId="687EBAC7" w:rsidR="008C097D" w:rsidRPr="00BB2DDA" w:rsidRDefault="008C097D" w:rsidP="00BB2DDA">
      <w:pPr>
        <w:pStyle w:val="ListParagraph"/>
        <w:numPr>
          <w:ilvl w:val="0"/>
          <w:numId w:val="5"/>
        </w:numPr>
        <w:rPr>
          <w:rFonts w:asciiTheme="majorHAnsi" w:hAnsiTheme="majorHAnsi" w:cstheme="majorHAnsi"/>
        </w:rPr>
      </w:pPr>
      <w:r w:rsidRPr="00F52321">
        <w:rPr>
          <w:rFonts w:cstheme="minorHAnsi"/>
        </w:rPr>
        <w:t xml:space="preserve">Most victims made a police report before engagement with the ISVA service (88%). </w:t>
      </w:r>
    </w:p>
    <w:p w14:paraId="04616976" w14:textId="1D933277" w:rsidR="00EE770D" w:rsidRPr="00F378D0" w:rsidRDefault="17FE3DBD" w:rsidP="2AEF0F6D">
      <w:r w:rsidRPr="00F378D0">
        <w:t>The</w:t>
      </w:r>
      <w:r w:rsidR="0B17D30F" w:rsidRPr="00F378D0">
        <w:t xml:space="preserve"> 2024</w:t>
      </w:r>
      <w:r w:rsidRPr="00F378D0">
        <w:t xml:space="preserve"> HMI</w:t>
      </w:r>
      <w:r w:rsidR="0B17D30F" w:rsidRPr="00F378D0">
        <w:t xml:space="preserve">CFRS review into the implementation of Operation Soteria specifically </w:t>
      </w:r>
      <w:r w:rsidR="28733963" w:rsidRPr="00F378D0">
        <w:t xml:space="preserve">noted increasing demand and lack of funding for victim support services, </w:t>
      </w:r>
      <w:r w:rsidR="228BD4F2" w:rsidRPr="00F378D0">
        <w:t xml:space="preserve">and ongoing concerns around the police response to RASSO cases raised by ISVAs. </w:t>
      </w:r>
      <w:r w:rsidR="708FE521" w:rsidRPr="00F378D0">
        <w:t xml:space="preserve">This is reflected in </w:t>
      </w:r>
      <w:r w:rsidR="178484DA" w:rsidRPr="00F378D0">
        <w:t>Recommendation</w:t>
      </w:r>
      <w:r w:rsidR="708FE521" w:rsidRPr="00F378D0">
        <w:t xml:space="preserve"> 10 </w:t>
      </w:r>
      <w:r w:rsidR="07DB9364" w:rsidRPr="00F378D0">
        <w:t xml:space="preserve">of the HMICFRS review </w:t>
      </w:r>
      <w:r w:rsidR="708FE521" w:rsidRPr="00F378D0">
        <w:t xml:space="preserve">which calls for extra </w:t>
      </w:r>
      <w:r w:rsidR="5FC6B5B9" w:rsidRPr="00F378D0">
        <w:t xml:space="preserve">national </w:t>
      </w:r>
      <w:r w:rsidR="708FE521" w:rsidRPr="00F378D0">
        <w:t xml:space="preserve">funding </w:t>
      </w:r>
      <w:r w:rsidR="5FC6B5B9" w:rsidRPr="00F378D0">
        <w:t xml:space="preserve">for RASSO victim support organisations that is on a </w:t>
      </w:r>
      <w:r w:rsidR="6BF5393A" w:rsidRPr="00F378D0">
        <w:t>longer-term</w:t>
      </w:r>
      <w:r w:rsidR="5FC6B5B9" w:rsidRPr="00F378D0">
        <w:t xml:space="preserve"> basis</w:t>
      </w:r>
      <w:r w:rsidR="178484DA" w:rsidRPr="00F378D0">
        <w:t xml:space="preserve"> for consistency.</w:t>
      </w:r>
      <w:r w:rsidR="00334962" w:rsidRPr="00F378D0">
        <w:rPr>
          <w:rStyle w:val="FootnoteReference"/>
        </w:rPr>
        <w:footnoteReference w:id="79"/>
      </w:r>
    </w:p>
    <w:p w14:paraId="45E9F5C0" w14:textId="77777777" w:rsidR="00EE770D" w:rsidRDefault="00EE770D" w:rsidP="00793313">
      <w:pPr>
        <w:pStyle w:val="Heading2"/>
        <w:rPr>
          <w:i/>
          <w:iCs/>
        </w:rPr>
      </w:pPr>
    </w:p>
    <w:p w14:paraId="6B88D70B" w14:textId="20E680DA" w:rsidR="00460226" w:rsidRPr="008C287C" w:rsidRDefault="008C097D" w:rsidP="0045413B">
      <w:pPr>
        <w:pStyle w:val="Style2"/>
      </w:pPr>
      <w:r w:rsidRPr="008C287C">
        <w:t>Local</w:t>
      </w:r>
      <w:r w:rsidR="00793313" w:rsidRPr="008C287C">
        <w:t xml:space="preserve"> support:</w:t>
      </w:r>
    </w:p>
    <w:p w14:paraId="6DAB5D87" w14:textId="217932F9" w:rsidR="00CC3AC8" w:rsidRPr="00BB2DDA" w:rsidRDefault="70ABC39C" w:rsidP="2AEF0F6D">
      <w:pPr>
        <w:rPr>
          <w:color w:val="5B9BD5" w:themeColor="accent5"/>
        </w:rPr>
      </w:pPr>
      <w:r w:rsidRPr="2AEF0F6D">
        <w:t xml:space="preserve">In </w:t>
      </w:r>
      <w:r w:rsidR="35282049" w:rsidRPr="2AEF0F6D">
        <w:t xml:space="preserve">South Yorkshire </w:t>
      </w:r>
      <w:r w:rsidRPr="2AEF0F6D">
        <w:t xml:space="preserve">the </w:t>
      </w:r>
      <w:r w:rsidR="0C627545" w:rsidRPr="2AEF0F6D">
        <w:t xml:space="preserve">ISVA service is commissioned by </w:t>
      </w:r>
      <w:r w:rsidR="73AB1907" w:rsidRPr="2AEF0F6D">
        <w:t>the Police and Crime Commissioner</w:t>
      </w:r>
      <w:r w:rsidR="0C627545" w:rsidRPr="2AEF0F6D">
        <w:t>, which now sits within the South Yorkshire Mayoral Combined Authority (SYMCA)</w:t>
      </w:r>
      <w:r w:rsidR="35282049" w:rsidRPr="2AEF0F6D">
        <w:t xml:space="preserve">. The contract is held by four sexual violence services representing each district as a South Yorkshire Sexual Violence Partnership. </w:t>
      </w:r>
      <w:r w:rsidR="2B093257" w:rsidRPr="2AEF0F6D">
        <w:t xml:space="preserve">The Sheffield ISVA contract is held by Sheffield Rape and Sexual Assault Centre (SRASAC). </w:t>
      </w:r>
    </w:p>
    <w:p w14:paraId="14782C57" w14:textId="09EDFC3B" w:rsidR="00B50C0A" w:rsidRPr="001D11D8" w:rsidRDefault="774563AC" w:rsidP="2AEF0F6D">
      <w:pPr>
        <w:rPr>
          <w:color w:val="1F4E79" w:themeColor="accent5" w:themeShade="80"/>
        </w:rPr>
      </w:pPr>
      <w:r w:rsidRPr="2AEF0F6D">
        <w:t>Data from 2023 show</w:t>
      </w:r>
      <w:r w:rsidR="4C93B3ED" w:rsidRPr="2AEF0F6D">
        <w:t>s</w:t>
      </w:r>
      <w:r w:rsidRPr="2AEF0F6D">
        <w:t xml:space="preserve"> that there were 606 referrals to the ISVA service, which is an average of around 50 per month. </w:t>
      </w:r>
      <w:r w:rsidR="10405616" w:rsidRPr="2AEF0F6D">
        <w:t xml:space="preserve">In total, 487 people were supported by an ISVA and 43 also received counselling at SRASAC. </w:t>
      </w:r>
    </w:p>
    <w:p w14:paraId="17C9EAE6" w14:textId="53C09661" w:rsidR="00936CDB" w:rsidRPr="0045413B" w:rsidRDefault="00524492" w:rsidP="00BB2DDA">
      <w:pPr>
        <w:pStyle w:val="Heading3"/>
        <w:rPr>
          <w:b/>
          <w:bCs/>
          <w:color w:val="1F4E79" w:themeColor="accent5" w:themeShade="80"/>
        </w:rPr>
      </w:pPr>
      <w:r w:rsidRPr="0045413B">
        <w:rPr>
          <w:b/>
          <w:bCs/>
          <w:color w:val="1F4E79" w:themeColor="accent5" w:themeShade="80"/>
        </w:rPr>
        <w:t>Counselling:</w:t>
      </w:r>
    </w:p>
    <w:p w14:paraId="11680093" w14:textId="7A325336" w:rsidR="00524492" w:rsidRPr="0045413B" w:rsidRDefault="00524492" w:rsidP="00BB2DDA">
      <w:pPr>
        <w:pStyle w:val="Heading4"/>
        <w:rPr>
          <w:b/>
          <w:bCs/>
          <w:color w:val="1F4E79" w:themeColor="accent5" w:themeShade="80"/>
        </w:rPr>
      </w:pPr>
      <w:r w:rsidRPr="0045413B">
        <w:rPr>
          <w:b/>
          <w:bCs/>
          <w:color w:val="1F4E79" w:themeColor="accent5" w:themeShade="80"/>
        </w:rPr>
        <w:t>National picture:</w:t>
      </w:r>
    </w:p>
    <w:p w14:paraId="73BCEDD8" w14:textId="74C3A671" w:rsidR="00BE4E58" w:rsidRPr="00BB2DDA" w:rsidRDefault="6C6967B7" w:rsidP="2AEF0F6D">
      <w:pPr>
        <w:rPr>
          <w:color w:val="5B9BD5" w:themeColor="accent5"/>
        </w:rPr>
      </w:pPr>
      <w:r w:rsidRPr="2AEF0F6D">
        <w:t>The provision of counselling for victim/survivors of sexual violence is complex</w:t>
      </w:r>
      <w:r w:rsidR="67677923" w:rsidRPr="2AEF0F6D">
        <w:t xml:space="preserve"> and varied</w:t>
      </w:r>
      <w:r w:rsidR="208DA10F" w:rsidRPr="2AEF0F6D">
        <w:t xml:space="preserve"> depending on local commissioning arrangements and </w:t>
      </w:r>
      <w:r w:rsidR="7D30913C" w:rsidRPr="2AEF0F6D">
        <w:t>geographical location</w:t>
      </w:r>
      <w:r w:rsidRPr="2AEF0F6D">
        <w:t xml:space="preserve">. </w:t>
      </w:r>
      <w:r w:rsidR="4B19E337" w:rsidRPr="2AEF0F6D">
        <w:t xml:space="preserve">There is an acknowledged national shortage of counselling </w:t>
      </w:r>
      <w:r w:rsidR="21BEAD01" w:rsidRPr="2AEF0F6D">
        <w:t>provision for victim</w:t>
      </w:r>
      <w:r w:rsidR="64DE6A6A" w:rsidRPr="2AEF0F6D">
        <w:t>/survivors for sexual violence.</w:t>
      </w:r>
    </w:p>
    <w:p w14:paraId="1B32FF20" w14:textId="4B0B0774" w:rsidR="009C5C5C" w:rsidRPr="00F378D0" w:rsidRDefault="63C89DCE" w:rsidP="2AEF0F6D">
      <w:r w:rsidRPr="00F378D0">
        <w:t xml:space="preserve">Many Rape Crisis Centres provide free </w:t>
      </w:r>
      <w:r w:rsidR="513D6190" w:rsidRPr="00F378D0">
        <w:t xml:space="preserve">specialist, trauma-informed, </w:t>
      </w:r>
      <w:r w:rsidRPr="00F378D0">
        <w:t xml:space="preserve">counselling for women who have experienced sexual violence, </w:t>
      </w:r>
      <w:r w:rsidR="67677923" w:rsidRPr="00F378D0">
        <w:t xml:space="preserve">some also provide counselling to men and/or children. </w:t>
      </w:r>
      <w:r w:rsidR="281AFE15" w:rsidRPr="00F378D0">
        <w:t>Rape Crisis have recently revealed that nearly 14,000 survivors are waiting for a service, and the latest analysis of Rape Crisis waiting list data revealed that over 80% of those on waiting lists were waiting for specialist counselling services.</w:t>
      </w:r>
      <w:r w:rsidR="00F60268" w:rsidRPr="00F378D0">
        <w:rPr>
          <w:rStyle w:val="FootnoteReference"/>
        </w:rPr>
        <w:footnoteReference w:id="80"/>
      </w:r>
      <w:r w:rsidR="49D94C2A" w:rsidRPr="00F378D0">
        <w:t xml:space="preserve"> </w:t>
      </w:r>
    </w:p>
    <w:p w14:paraId="3239377F" w14:textId="1A4C438F" w:rsidR="00BE4E58" w:rsidRPr="001D11D8" w:rsidRDefault="7207176A" w:rsidP="2AEF0F6D">
      <w:pPr>
        <w:rPr>
          <w:color w:val="1F4E79" w:themeColor="accent5" w:themeShade="80"/>
        </w:rPr>
      </w:pPr>
      <w:r w:rsidRPr="2AEF0F6D">
        <w:t>Due to a range of factors, s</w:t>
      </w:r>
      <w:r w:rsidR="03736841" w:rsidRPr="2AEF0F6D">
        <w:t>ome v</w:t>
      </w:r>
      <w:r w:rsidR="7B80D3F9" w:rsidRPr="2AEF0F6D">
        <w:t xml:space="preserve">ictim/survivors of sexual violence may choose to access non-specialist counselling </w:t>
      </w:r>
      <w:r w:rsidR="03736841" w:rsidRPr="2AEF0F6D">
        <w:t xml:space="preserve">or seek counselling privately, there is no national data on this. </w:t>
      </w:r>
      <w:r w:rsidRPr="2AEF0F6D">
        <w:t xml:space="preserve">Many will not have the means to access </w:t>
      </w:r>
      <w:r w:rsidR="1FF46430" w:rsidRPr="2AEF0F6D">
        <w:t xml:space="preserve">counselling. </w:t>
      </w:r>
    </w:p>
    <w:p w14:paraId="0E9BF0AD" w14:textId="42B0FAC8" w:rsidR="00F5477F" w:rsidRPr="001D11D8" w:rsidRDefault="00F5477F" w:rsidP="00936CDB">
      <w:pPr>
        <w:rPr>
          <w:i/>
          <w:iCs/>
          <w:color w:val="1F4E79" w:themeColor="accent5" w:themeShade="80"/>
        </w:rPr>
      </w:pPr>
      <w:r w:rsidRPr="001D11D8">
        <w:rPr>
          <w:i/>
          <w:iCs/>
          <w:color w:val="1F4E79" w:themeColor="accent5" w:themeShade="80"/>
        </w:rPr>
        <w:t>Local picture:</w:t>
      </w:r>
    </w:p>
    <w:p w14:paraId="268247FA" w14:textId="3DFCE16D" w:rsidR="00295060" w:rsidRPr="00BB2DDA" w:rsidRDefault="1FF46430" w:rsidP="2AEF0F6D">
      <w:pPr>
        <w:rPr>
          <w:color w:val="5B9BD5" w:themeColor="accent5"/>
        </w:rPr>
      </w:pPr>
      <w:r w:rsidRPr="2AEF0F6D">
        <w:t>SRASAC provides a free counselling service to all</w:t>
      </w:r>
      <w:r w:rsidR="68D3BD3A" w:rsidRPr="2AEF0F6D">
        <w:t xml:space="preserve"> children and adults of all gender</w:t>
      </w:r>
      <w:r w:rsidR="49872120" w:rsidRPr="2AEF0F6D">
        <w:t xml:space="preserve">s, and this contract is commissioned by the local Police and Crime Commissioner and the Sheffield </w:t>
      </w:r>
      <w:r w:rsidR="174620F6" w:rsidRPr="2AEF0F6D">
        <w:t>Domestic Abuse Co-Ordination Team (DACT).</w:t>
      </w:r>
      <w:r w:rsidR="4AC6DBE9" w:rsidRPr="2AEF0F6D">
        <w:t xml:space="preserve"> The counselling provided lasts up to 20 weeks.</w:t>
      </w:r>
      <w:r w:rsidR="68D3BD3A" w:rsidRPr="2AEF0F6D">
        <w:t xml:space="preserve"> </w:t>
      </w:r>
      <w:r w:rsidRPr="2AEF0F6D">
        <w:t>In 2023 there were 557 referrals to counselling at SRASAC</w:t>
      </w:r>
      <w:r w:rsidR="68D3BD3A" w:rsidRPr="2AEF0F6D">
        <w:t xml:space="preserve">, around 46 per month, and in total 268 people were supported in counselling and there were 2,866 counselling sessions delivered overall. 99% of clients stated that this counselling had </w:t>
      </w:r>
      <w:r w:rsidR="174620F6" w:rsidRPr="2AEF0F6D">
        <w:t xml:space="preserve">helped them. </w:t>
      </w:r>
      <w:r w:rsidR="1ABE2AB1" w:rsidRPr="2AEF0F6D">
        <w:t>Data from our public consultation survey showed that 60% of respondents who had experienced sexual violence knew of SRASAC. </w:t>
      </w:r>
    </w:p>
    <w:p w14:paraId="28CB83E9" w14:textId="21D08A62" w:rsidR="005F3AFD" w:rsidRPr="00F378D0" w:rsidRDefault="42D6EB24" w:rsidP="2AEF0F6D">
      <w:r w:rsidRPr="00F378D0">
        <w:t xml:space="preserve">Saffron Sheffield is a local charity that supports </w:t>
      </w:r>
      <w:r w:rsidR="1CF77A61" w:rsidRPr="00F378D0">
        <w:t xml:space="preserve">women in Sheffield via free, long-term specialist </w:t>
      </w:r>
      <w:r w:rsidR="66B56640" w:rsidRPr="00F378D0">
        <w:t>trauma</w:t>
      </w:r>
      <w:r w:rsidR="1CF77A61" w:rsidRPr="00F378D0">
        <w:t xml:space="preserve"> counselling and psychotherapy</w:t>
      </w:r>
      <w:r w:rsidR="0B8CECC7" w:rsidRPr="00F378D0">
        <w:t>.</w:t>
      </w:r>
      <w:r w:rsidR="41DC4761" w:rsidRPr="00F378D0">
        <w:t xml:space="preserve"> </w:t>
      </w:r>
      <w:r w:rsidR="3C0BD05A" w:rsidRPr="00F378D0">
        <w:t>In the year 2023-2024 they have been funded</w:t>
      </w:r>
      <w:r w:rsidR="3C924D4B" w:rsidRPr="00F378D0">
        <w:t xml:space="preserve"> by the South Yorkshire ICB</w:t>
      </w:r>
      <w:r w:rsidR="66B56640" w:rsidRPr="00F378D0">
        <w:t xml:space="preserve">, </w:t>
      </w:r>
      <w:r w:rsidR="78B815E5" w:rsidRPr="00F378D0">
        <w:t>20 grant</w:t>
      </w:r>
      <w:r w:rsidR="3C0BD05A" w:rsidRPr="00F378D0">
        <w:t>s</w:t>
      </w:r>
      <w:r w:rsidR="66B56640" w:rsidRPr="00F378D0">
        <w:t xml:space="preserve"> and fundraising.</w:t>
      </w:r>
      <w:r w:rsidR="00F51A85" w:rsidRPr="00F378D0">
        <w:rPr>
          <w:rStyle w:val="FootnoteReference"/>
        </w:rPr>
        <w:footnoteReference w:id="81"/>
      </w:r>
      <w:r w:rsidR="66B56640" w:rsidRPr="00F378D0">
        <w:t xml:space="preserve"> </w:t>
      </w:r>
      <w:r w:rsidR="41DC4761" w:rsidRPr="00F378D0">
        <w:t xml:space="preserve">They accept complex cases, including those who are often denied access to other counselling routes. </w:t>
      </w:r>
      <w:r w:rsidR="0B8CECC7" w:rsidRPr="00F378D0">
        <w:t xml:space="preserve"> </w:t>
      </w:r>
      <w:r w:rsidR="1CF77A61" w:rsidRPr="00F378D0">
        <w:t>In 2023-2024</w:t>
      </w:r>
      <w:r w:rsidR="7D23A4BF" w:rsidRPr="00F378D0">
        <w:t>,</w:t>
      </w:r>
      <w:r w:rsidR="0B8CECC7" w:rsidRPr="00F378D0">
        <w:t>82% of clients had required over 20 sessions</w:t>
      </w:r>
      <w:r w:rsidR="3C924D4B" w:rsidRPr="00F378D0">
        <w:t>, with the sessions lasting up to 40 sessions</w:t>
      </w:r>
      <w:r w:rsidR="0B8CECC7" w:rsidRPr="00F378D0">
        <w:t xml:space="preserve">. </w:t>
      </w:r>
      <w:r w:rsidR="52D80DBE" w:rsidRPr="00F378D0">
        <w:t xml:space="preserve">The service provides counselling to victim/survivors of </w:t>
      </w:r>
      <w:r w:rsidR="37A42290" w:rsidRPr="00F378D0">
        <w:t xml:space="preserve">many forms of trauma, including sexual violence, and the data for 2023-2024 reveals that </w:t>
      </w:r>
      <w:r w:rsidR="7D23A4BF" w:rsidRPr="00F378D0">
        <w:t xml:space="preserve">24% of those supported had experienced sexual abuse, rape or sexual exploitation in adulthood. </w:t>
      </w:r>
      <w:r w:rsidR="29E2B577" w:rsidRPr="00F378D0">
        <w:t xml:space="preserve">As outlined in their </w:t>
      </w:r>
      <w:r w:rsidR="66CCA74E" w:rsidRPr="00F378D0">
        <w:t>impact</w:t>
      </w:r>
      <w:r w:rsidR="29E2B577" w:rsidRPr="00F378D0">
        <w:t xml:space="preserve"> report the demand for support is going </w:t>
      </w:r>
      <w:r w:rsidR="24947ABB" w:rsidRPr="00F378D0">
        <w:t xml:space="preserve">with 681 women registered for therapy in January 2024 vs </w:t>
      </w:r>
      <w:r w:rsidR="120A8019" w:rsidRPr="00F378D0">
        <w:t xml:space="preserve">320 in June 2022. </w:t>
      </w:r>
      <w:r w:rsidR="66B54B15" w:rsidRPr="00F378D0">
        <w:t xml:space="preserve">At any </w:t>
      </w:r>
      <w:r w:rsidR="41DC4761" w:rsidRPr="00F378D0">
        <w:t>one-time</w:t>
      </w:r>
      <w:r w:rsidR="66B54B15" w:rsidRPr="00F378D0">
        <w:t xml:space="preserve"> Saffron can support around 75 women</w:t>
      </w:r>
      <w:r w:rsidR="41DC4761" w:rsidRPr="00F378D0">
        <w:t>.</w:t>
      </w:r>
      <w:r w:rsidR="001C6C5F" w:rsidRPr="00F378D0">
        <w:rPr>
          <w:rStyle w:val="FootnoteReference"/>
        </w:rPr>
        <w:footnoteReference w:id="82"/>
      </w:r>
      <w:r w:rsidR="3C924D4B" w:rsidRPr="00F378D0">
        <w:t xml:space="preserve"> </w:t>
      </w:r>
    </w:p>
    <w:p w14:paraId="4B7E7A39" w14:textId="5A985EC7" w:rsidR="002144E9" w:rsidRPr="00BB2DDA" w:rsidRDefault="50396938" w:rsidP="2AEF0F6D">
      <w:pPr>
        <w:rPr>
          <w:color w:val="5B9BD5" w:themeColor="accent5"/>
        </w:rPr>
      </w:pPr>
      <w:r w:rsidRPr="2AEF0F6D">
        <w:t xml:space="preserve">Historically VIDA Sheffield has provided support to women </w:t>
      </w:r>
      <w:r w:rsidR="353278B1" w:rsidRPr="2AEF0F6D">
        <w:t>who have experienced abuse and trauma</w:t>
      </w:r>
      <w:r w:rsidR="4DA6C2A5" w:rsidRPr="2AEF0F6D">
        <w:t>, including sexual violence</w:t>
      </w:r>
      <w:r w:rsidR="551CD4CC" w:rsidRPr="2AEF0F6D">
        <w:t xml:space="preserve"> via </w:t>
      </w:r>
      <w:r w:rsidR="25B8E0AA" w:rsidRPr="2AEF0F6D">
        <w:t>free, trauma</w:t>
      </w:r>
      <w:r w:rsidR="551CD4CC" w:rsidRPr="2AEF0F6D">
        <w:t xml:space="preserve">-focused therapy. </w:t>
      </w:r>
      <w:r w:rsidR="25B8E0AA" w:rsidRPr="2AEF0F6D">
        <w:t>Unfortunately,</w:t>
      </w:r>
      <w:r w:rsidR="1A752311" w:rsidRPr="2AEF0F6D">
        <w:t xml:space="preserve"> d</w:t>
      </w:r>
      <w:r w:rsidR="3AE08777" w:rsidRPr="2AEF0F6D">
        <w:t>ue to a lack of funding this service, which supports around 200</w:t>
      </w:r>
      <w:r w:rsidR="44688582" w:rsidRPr="2AEF0F6D">
        <w:t xml:space="preserve">-250 </w:t>
      </w:r>
      <w:r w:rsidR="3AE08777" w:rsidRPr="2AEF0F6D">
        <w:t xml:space="preserve">women a year faces </w:t>
      </w:r>
      <w:r w:rsidR="1A752311" w:rsidRPr="2AEF0F6D">
        <w:t xml:space="preserve">closure which is likely to impact existing services. </w:t>
      </w:r>
    </w:p>
    <w:p w14:paraId="36ABB27A" w14:textId="2658F8F7" w:rsidR="00B025CF" w:rsidRPr="00F378D0" w:rsidRDefault="4939BFE2" w:rsidP="2AEF0F6D">
      <w:r w:rsidRPr="00F378D0">
        <w:t xml:space="preserve">Given the </w:t>
      </w:r>
      <w:r w:rsidR="6AE66850" w:rsidRPr="00F378D0">
        <w:t>prevalence</w:t>
      </w:r>
      <w:r w:rsidRPr="00F378D0">
        <w:t xml:space="preserve"> of sexual violence in </w:t>
      </w:r>
      <w:r w:rsidR="6AE66850" w:rsidRPr="00F378D0">
        <w:t>16-25 age range, t</w:t>
      </w:r>
      <w:r w:rsidR="0DE45349" w:rsidRPr="00F378D0">
        <w:t xml:space="preserve">he University of </w:t>
      </w:r>
      <w:r w:rsidRPr="00F378D0">
        <w:t>Sheffield</w:t>
      </w:r>
      <w:r w:rsidR="0DE45349" w:rsidRPr="00F378D0">
        <w:t xml:space="preserve"> this year has launched a new </w:t>
      </w:r>
      <w:r w:rsidRPr="00F378D0">
        <w:t>in-house</w:t>
      </w:r>
      <w:r w:rsidR="0DE45349" w:rsidRPr="00F378D0">
        <w:t xml:space="preserve"> counselling service for victim</w:t>
      </w:r>
      <w:r w:rsidRPr="00F378D0">
        <w:t>/survivor</w:t>
      </w:r>
      <w:r w:rsidR="0DE45349" w:rsidRPr="00F378D0">
        <w:t xml:space="preserve">s of sexual violence. There is </w:t>
      </w:r>
      <w:r w:rsidRPr="00F378D0">
        <w:t>no data available to date</w:t>
      </w:r>
      <w:r w:rsidR="6AE66850" w:rsidRPr="00F378D0">
        <w:t xml:space="preserve"> on this new service. </w:t>
      </w:r>
      <w:r w:rsidR="002C1393" w:rsidRPr="00F378D0">
        <w:rPr>
          <w:rStyle w:val="FootnoteReference"/>
        </w:rPr>
        <w:footnoteReference w:id="83"/>
      </w:r>
    </w:p>
    <w:p w14:paraId="5BF73873" w14:textId="3185E720" w:rsidR="004C32DE" w:rsidRPr="00F378D0" w:rsidRDefault="4CD4C0D5" w:rsidP="2AEF0F6D">
      <w:r w:rsidRPr="00F378D0">
        <w:t xml:space="preserve">Although not </w:t>
      </w:r>
      <w:r w:rsidR="0390104B" w:rsidRPr="00F378D0">
        <w:t xml:space="preserve">specific to sexual exploitation, </w:t>
      </w:r>
      <w:r w:rsidR="62113B89" w:rsidRPr="00F378D0">
        <w:t xml:space="preserve">The Snowdrop Project, a charity that provides support to victim/survivors of </w:t>
      </w:r>
      <w:r w:rsidR="0AF73A55" w:rsidRPr="00F378D0">
        <w:t xml:space="preserve">modern slavery and exploitation, has seen an increase of 263% in referrals to their counselling service over the last 12 months. </w:t>
      </w:r>
      <w:r w:rsidR="528A1EF2" w:rsidRPr="00F378D0">
        <w:t xml:space="preserve">In 2023 they </w:t>
      </w:r>
      <w:r w:rsidR="5E9F1B8A" w:rsidRPr="00F378D0">
        <w:t>supported 107</w:t>
      </w:r>
      <w:r w:rsidR="5E9F1B8A" w:rsidRPr="00F378D0">
        <w:rPr>
          <w:b/>
          <w:bCs/>
        </w:rPr>
        <w:t xml:space="preserve"> </w:t>
      </w:r>
      <w:r w:rsidR="5E9F1B8A" w:rsidRPr="00F378D0">
        <w:t>survivors supported through counselling, with 52 new referrals.</w:t>
      </w:r>
      <w:r w:rsidR="004C32DE" w:rsidRPr="00F378D0">
        <w:rPr>
          <w:rStyle w:val="FootnoteReference"/>
        </w:rPr>
        <w:footnoteReference w:id="84"/>
      </w:r>
    </w:p>
    <w:p w14:paraId="5B1A9BFA" w14:textId="2BFE3F9C" w:rsidR="008A6B2F" w:rsidRPr="0045413B" w:rsidRDefault="008A6B2F" w:rsidP="004C32DE">
      <w:pPr>
        <w:rPr>
          <w:b/>
          <w:bCs/>
        </w:rPr>
      </w:pPr>
      <w:r w:rsidRPr="0045413B">
        <w:rPr>
          <w:b/>
          <w:bCs/>
        </w:rPr>
        <w:t>Associated recommendation: To discuss the mental health support needs of victims over time post sexual violence with providers to inform support pathways and conduct further work to consider whether support options are adequate for populations disproportionately impacted by sexual violence.</w:t>
      </w:r>
    </w:p>
    <w:p w14:paraId="5A9C81C5" w14:textId="0D994936" w:rsidR="00C641FA" w:rsidRPr="0045413B" w:rsidRDefault="0003748E" w:rsidP="0045413B">
      <w:pPr>
        <w:pStyle w:val="Heading3"/>
        <w:rPr>
          <w:b/>
          <w:bCs/>
        </w:rPr>
      </w:pPr>
      <w:r w:rsidRPr="0045413B">
        <w:rPr>
          <w:b/>
          <w:bCs/>
        </w:rPr>
        <w:t>Specific s</w:t>
      </w:r>
      <w:r w:rsidR="00F21CB8" w:rsidRPr="0045413B">
        <w:rPr>
          <w:b/>
          <w:bCs/>
        </w:rPr>
        <w:t>upport for students</w:t>
      </w:r>
      <w:r w:rsidRPr="0045413B">
        <w:rPr>
          <w:b/>
          <w:bCs/>
        </w:rPr>
        <w:t>-</w:t>
      </w:r>
      <w:r w:rsidR="00F21CB8" w:rsidRPr="0045413B">
        <w:rPr>
          <w:b/>
          <w:bCs/>
        </w:rPr>
        <w:t xml:space="preserve"> The </w:t>
      </w:r>
      <w:r w:rsidR="00C641FA" w:rsidRPr="0045413B">
        <w:rPr>
          <w:b/>
          <w:bCs/>
        </w:rPr>
        <w:t>University Report + Support Tool:</w:t>
      </w:r>
    </w:p>
    <w:p w14:paraId="58D4A44A" w14:textId="3BEB1588" w:rsidR="00C641FA" w:rsidRDefault="00C641FA" w:rsidP="00C641FA">
      <w:r>
        <w:t xml:space="preserve">Both the University of Sheffield and Sheffield Hallam University use the Report + Support Tool </w:t>
      </w:r>
      <w:r w:rsidR="00194AC4">
        <w:t xml:space="preserve">to </w:t>
      </w:r>
      <w:r w:rsidR="009F7D8F">
        <w:t xml:space="preserve">as part of their approach to </w:t>
      </w:r>
      <w:r w:rsidR="00194AC4">
        <w:t xml:space="preserve">enable students to </w:t>
      </w:r>
      <w:r w:rsidR="00893C22">
        <w:t>report sexual violence (amongst other forms of harm) and access support. This can be done anonymously</w:t>
      </w:r>
      <w:r w:rsidR="00F76278">
        <w:t xml:space="preserve"> if wished. </w:t>
      </w:r>
    </w:p>
    <w:p w14:paraId="28B9672A" w14:textId="61C3497E" w:rsidR="00B0715D" w:rsidRDefault="004C34F5" w:rsidP="00B0715D">
      <w:r>
        <w:t xml:space="preserve">Within the last year the University of Sheffield has developed </w:t>
      </w:r>
      <w:r w:rsidRPr="004C34F5">
        <w:t>a care pathway for students who have experienced sexual violence and harassment</w:t>
      </w:r>
      <w:r w:rsidR="00C655EF">
        <w:t xml:space="preserve">. </w:t>
      </w:r>
      <w:r w:rsidRPr="004C34F5">
        <w:t xml:space="preserve">The Student Mental Health Counselling and Therapies Service has been allocated additional resources to increase staffing levels </w:t>
      </w:r>
      <w:r w:rsidR="00C655EF" w:rsidRPr="004C34F5">
        <w:t>to</w:t>
      </w:r>
      <w:r w:rsidRPr="004C34F5">
        <w:t xml:space="preserve"> meet </w:t>
      </w:r>
      <w:r w:rsidR="00C655EF" w:rsidRPr="004C34F5">
        <w:t>need and</w:t>
      </w:r>
      <w:r w:rsidRPr="004C34F5">
        <w:t xml:space="preserve"> is ensuring staff receive up to date training and development in this area. </w:t>
      </w:r>
      <w:r w:rsidR="00C655EF">
        <w:t xml:space="preserve">There is no update as to the rollout of this pathway currently. </w:t>
      </w:r>
    </w:p>
    <w:p w14:paraId="132AE346" w14:textId="1C6496CE" w:rsidR="00FF2860" w:rsidRPr="00F4230E" w:rsidRDefault="00FF2860" w:rsidP="00B0715D">
      <w:r>
        <w:t>No update has been provided by Sheffield Hallam University for the purpose of this report.</w:t>
      </w:r>
    </w:p>
    <w:p w14:paraId="63534B96" w14:textId="63E4B30D" w:rsidR="00B0715D" w:rsidRPr="00B33F2E" w:rsidRDefault="00F52321" w:rsidP="00AB0F4C">
      <w:pPr>
        <w:rPr>
          <w:b/>
          <w:bCs/>
        </w:rPr>
      </w:pPr>
      <w:r w:rsidRPr="00F378D0">
        <w:rPr>
          <w:b/>
          <w:bCs/>
        </w:rPr>
        <w:t>See associated r</w:t>
      </w:r>
      <w:r w:rsidR="00F70B3A" w:rsidRPr="00F378D0">
        <w:rPr>
          <w:b/>
          <w:bCs/>
        </w:rPr>
        <w:t xml:space="preserve">ecommendation: To continue to engage with both universities in the city as part of RASSO and </w:t>
      </w:r>
      <w:r w:rsidR="00B33F2E" w:rsidRPr="00F378D0">
        <w:rPr>
          <w:b/>
          <w:bCs/>
        </w:rPr>
        <w:t>beyond to develop</w:t>
      </w:r>
      <w:r w:rsidR="00947A04" w:rsidRPr="00F378D0">
        <w:rPr>
          <w:b/>
          <w:bCs/>
        </w:rPr>
        <w:t xml:space="preserve"> plans around the specific student population in Sheffield</w:t>
      </w:r>
      <w:r w:rsidR="00FF2860" w:rsidRPr="00F378D0">
        <w:rPr>
          <w:b/>
          <w:bCs/>
        </w:rPr>
        <w:t xml:space="preserve"> and </w:t>
      </w:r>
      <w:r w:rsidR="00B33F2E" w:rsidRPr="00F378D0">
        <w:rPr>
          <w:b/>
          <w:bCs/>
        </w:rPr>
        <w:t>disproportionate impact of sexual violence.</w:t>
      </w:r>
      <w:r w:rsidR="00B33F2E">
        <w:rPr>
          <w:b/>
          <w:bCs/>
        </w:rPr>
        <w:t xml:space="preserve"> </w:t>
      </w:r>
    </w:p>
    <w:p w14:paraId="7812E16E" w14:textId="63FD4FD8" w:rsidR="00EA22A5" w:rsidRPr="00D9272E" w:rsidRDefault="00EA22A5" w:rsidP="0045413B">
      <w:pPr>
        <w:pStyle w:val="Heading4"/>
        <w:rPr>
          <w:b/>
          <w:bCs/>
          <w:color w:val="1F4E79" w:themeColor="accent5" w:themeShade="80"/>
        </w:rPr>
      </w:pPr>
      <w:r w:rsidRPr="00D9272E">
        <w:rPr>
          <w:b/>
          <w:bCs/>
          <w:color w:val="1F4E79" w:themeColor="accent5" w:themeShade="80"/>
        </w:rPr>
        <w:t>Survivor voice:</w:t>
      </w:r>
    </w:p>
    <w:p w14:paraId="51C983EA" w14:textId="09D22E93" w:rsidR="00EA22A5" w:rsidRDefault="00EE344B" w:rsidP="00EA22A5">
      <w:pPr>
        <w:jc w:val="both"/>
      </w:pPr>
      <w:r>
        <w:t>This needs assessment has highlighted a gap in the opportunities for victim/survivors of sexual violence</w:t>
      </w:r>
      <w:r w:rsidR="00254499">
        <w:t>, including sexual harassment,</w:t>
      </w:r>
      <w:r>
        <w:t xml:space="preserve"> to feed into local </w:t>
      </w:r>
      <w:r w:rsidR="00254499">
        <w:t>decision-making</w:t>
      </w:r>
      <w:r>
        <w:t xml:space="preserve"> processes</w:t>
      </w:r>
      <w:r w:rsidR="00254499">
        <w:t xml:space="preserve">. </w:t>
      </w:r>
    </w:p>
    <w:p w14:paraId="15222793" w14:textId="01D34A6A" w:rsidR="00254499" w:rsidRPr="00177D21" w:rsidRDefault="00275ED3" w:rsidP="00EA22A5">
      <w:pPr>
        <w:jc w:val="both"/>
        <w:rPr>
          <w:b/>
          <w:bCs/>
        </w:rPr>
      </w:pPr>
      <w:r w:rsidRPr="00F378D0">
        <w:rPr>
          <w:b/>
          <w:bCs/>
        </w:rPr>
        <w:t xml:space="preserve">Recommendation: To utilise the ongoing work in the city around embedding the voice of domestic abuse victim/survivors to </w:t>
      </w:r>
      <w:r w:rsidR="00177D21" w:rsidRPr="00F378D0">
        <w:rPr>
          <w:b/>
          <w:bCs/>
        </w:rPr>
        <w:t>explore the avenues for further embedding the voice of victim/survivors of sexual violence, including sexual harassment, and other forms of related harm.</w:t>
      </w:r>
    </w:p>
    <w:p w14:paraId="163ED01D" w14:textId="1EC0D828" w:rsidR="4C917B9B" w:rsidRDefault="4C917B9B" w:rsidP="2AEF0F6D">
      <w:pPr>
        <w:pStyle w:val="Heading1"/>
      </w:pPr>
      <w:r>
        <w:t>Recommendations from the sexual violence needs assessment:</w:t>
      </w:r>
    </w:p>
    <w:p w14:paraId="456BC943" w14:textId="77777777" w:rsidR="2AEF0F6D" w:rsidRPr="0045413B" w:rsidRDefault="2AEF0F6D" w:rsidP="2AEF0F6D">
      <w:pPr>
        <w:pStyle w:val="Heading4"/>
        <w:rPr>
          <w:rFonts w:ascii="Calibri" w:hAnsi="Calibri" w:cs="Calibri"/>
          <w:b/>
          <w:bCs/>
          <w:i w:val="0"/>
          <w:iCs w:val="0"/>
          <w:color w:val="auto"/>
        </w:rPr>
      </w:pPr>
    </w:p>
    <w:p w14:paraId="1F89906B" w14:textId="028E5EE5" w:rsidR="4C917B9B" w:rsidRPr="0045413B" w:rsidRDefault="4C917B9B">
      <w:pPr>
        <w:rPr>
          <w:b/>
          <w:bCs/>
        </w:rPr>
      </w:pPr>
      <w:r w:rsidRPr="0045413B">
        <w:rPr>
          <w:b/>
          <w:bCs/>
        </w:rPr>
        <w:t xml:space="preserve">Recommendation: To utilise this to further work regionally with partners to explore the regional picture of sexual violence and identify new and existing avenues for change. </w:t>
      </w:r>
    </w:p>
    <w:p w14:paraId="03A75EEF" w14:textId="5F652E3C" w:rsidR="4C917B9B" w:rsidRPr="0045413B" w:rsidRDefault="4C917B9B" w:rsidP="2AEF0F6D">
      <w:pPr>
        <w:pStyle w:val="Heading4"/>
        <w:rPr>
          <w:rFonts w:ascii="Calibri" w:hAnsi="Calibri" w:cs="Calibri"/>
          <w:b/>
          <w:bCs/>
          <w:i w:val="0"/>
          <w:iCs w:val="0"/>
          <w:color w:val="auto"/>
        </w:rPr>
      </w:pPr>
      <w:r w:rsidRPr="0045413B">
        <w:rPr>
          <w:rFonts w:ascii="Calibri" w:hAnsi="Calibri" w:cs="Calibri"/>
          <w:b/>
          <w:bCs/>
          <w:i w:val="0"/>
          <w:iCs w:val="0"/>
          <w:color w:val="auto"/>
        </w:rPr>
        <w:t xml:space="preserve">Recommendation: To further explore how intersectionality is considered in the data gathered and workplans in this area and across the wider strategy, including via the DA/SA Anti-Racism Group. </w:t>
      </w:r>
      <w:r w:rsidRPr="0045413B">
        <w:rPr>
          <w:b/>
          <w:bCs/>
        </w:rPr>
        <w:br/>
      </w:r>
    </w:p>
    <w:p w14:paraId="21DCCC31" w14:textId="325C0C94" w:rsidR="4C917B9B" w:rsidRPr="0045413B" w:rsidRDefault="4C917B9B" w:rsidP="2AEF0F6D">
      <w:pPr>
        <w:shd w:val="clear" w:color="auto" w:fill="FFFFFF" w:themeFill="background1"/>
        <w:spacing w:line="256" w:lineRule="auto"/>
        <w:rPr>
          <w:b/>
          <w:bCs/>
        </w:rPr>
      </w:pPr>
      <w:r w:rsidRPr="0045413B">
        <w:rPr>
          <w:b/>
          <w:bCs/>
        </w:rPr>
        <w:t xml:space="preserve">Recommendation: To consider how data can be better captured to improve understanding of sexual violence within domestic abuse cases as part of the MARAC process and on client profiles. </w:t>
      </w:r>
    </w:p>
    <w:p w14:paraId="7D236FD4" w14:textId="5934B2CA" w:rsidR="4C917B9B" w:rsidRPr="0045413B" w:rsidRDefault="4C917B9B">
      <w:pPr>
        <w:rPr>
          <w:b/>
          <w:bCs/>
        </w:rPr>
      </w:pPr>
      <w:r w:rsidRPr="0045413B">
        <w:rPr>
          <w:b/>
          <w:bCs/>
        </w:rPr>
        <w:t>Recommendation: To discuss the mental health support needs of victims over time post sexual violence with providers to inform support pathways and conduct further work to consider whether support options are adequate for populations disproportionately impacted by sexual violence.</w:t>
      </w:r>
    </w:p>
    <w:p w14:paraId="5A0A8DCE" w14:textId="7FD6175F" w:rsidR="4C917B9B" w:rsidRPr="0045413B" w:rsidRDefault="4C917B9B">
      <w:pPr>
        <w:rPr>
          <w:b/>
          <w:bCs/>
        </w:rPr>
      </w:pPr>
      <w:r w:rsidRPr="0045413B">
        <w:rPr>
          <w:b/>
          <w:bCs/>
        </w:rPr>
        <w:t>Recommendation: To explore the potential for creating Sheffield or South Yorkshire specific understanding of lifetime cost of sexual violence with local and academic partners.</w:t>
      </w:r>
    </w:p>
    <w:p w14:paraId="2D5795EA" w14:textId="11BB8290" w:rsidR="4C917B9B" w:rsidRPr="0045413B" w:rsidRDefault="4C917B9B" w:rsidP="2AEF0F6D">
      <w:pPr>
        <w:shd w:val="clear" w:color="auto" w:fill="FFFFFF" w:themeFill="background1"/>
        <w:spacing w:beforeAutospacing="1" w:afterAutospacing="1" w:line="240" w:lineRule="auto"/>
        <w:rPr>
          <w:b/>
          <w:bCs/>
        </w:rPr>
      </w:pPr>
      <w:r w:rsidRPr="0045413B">
        <w:rPr>
          <w:b/>
          <w:bCs/>
        </w:rPr>
        <w:t>Recommendation: To take a multi-partner approach to consider how persisting and emerging rape myths can be debunked via the council</w:t>
      </w:r>
      <w:r w:rsidR="175F16ED" w:rsidRPr="0045413B">
        <w:rPr>
          <w:b/>
          <w:bCs/>
        </w:rPr>
        <w:t>’</w:t>
      </w:r>
      <w:r w:rsidRPr="0045413B">
        <w:rPr>
          <w:b/>
          <w:bCs/>
        </w:rPr>
        <w:t xml:space="preserve">s White Ribbon action plan, education in schools and wider organisations including the criminal justice system. </w:t>
      </w:r>
    </w:p>
    <w:p w14:paraId="36DAD605" w14:textId="77777777" w:rsidR="4C917B9B" w:rsidRPr="0045413B" w:rsidRDefault="4C917B9B" w:rsidP="2AEF0F6D">
      <w:pPr>
        <w:shd w:val="clear" w:color="auto" w:fill="FFFFFF" w:themeFill="background1"/>
        <w:rPr>
          <w:b/>
          <w:bCs/>
        </w:rPr>
      </w:pPr>
      <w:r w:rsidRPr="0045413B">
        <w:rPr>
          <w:b/>
          <w:bCs/>
        </w:rPr>
        <w:t>Recommendation: To utilise existing involvement within the countywide RASSO Steering Group to identify opportunities for improvement in the arrangements for disrupting repeat offenders.</w:t>
      </w:r>
    </w:p>
    <w:p w14:paraId="001E41F7" w14:textId="77777777" w:rsidR="4C917B9B" w:rsidRPr="0045413B" w:rsidRDefault="4C917B9B" w:rsidP="2AEF0F6D">
      <w:pPr>
        <w:shd w:val="clear" w:color="auto" w:fill="FFFFFF" w:themeFill="background1"/>
        <w:rPr>
          <w:b/>
          <w:bCs/>
        </w:rPr>
      </w:pPr>
      <w:r w:rsidRPr="0045413B">
        <w:rPr>
          <w:b/>
          <w:bCs/>
        </w:rPr>
        <w:t xml:space="preserve">Recommendation: To work with partners to better understand and evidence the scale and impact of short notice trial rearrangement and support for victims of RASSO offences and other offences in scope of this strategy. </w:t>
      </w:r>
    </w:p>
    <w:p w14:paraId="1A2813DF" w14:textId="520251D1" w:rsidR="4C917B9B" w:rsidRPr="0045413B" w:rsidRDefault="4C917B9B" w:rsidP="00F378D0">
      <w:pPr>
        <w:rPr>
          <w:b/>
          <w:bCs/>
        </w:rPr>
      </w:pPr>
      <w:r w:rsidRPr="0045413B">
        <w:rPr>
          <w:b/>
          <w:bCs/>
        </w:rPr>
        <w:t xml:space="preserve">Recommendation: To continue work with partners, including as part of the RASSO Quarterly Meeting, to ensure that progress in monitored, issues are addressed, and this work informs strategic ambitions and maximises opportunities for joint working </w:t>
      </w:r>
      <w:proofErr w:type="gramStart"/>
      <w:r w:rsidRPr="0045413B">
        <w:rPr>
          <w:b/>
          <w:bCs/>
        </w:rPr>
        <w:t>as a result of</w:t>
      </w:r>
      <w:proofErr w:type="gramEnd"/>
      <w:r w:rsidRPr="0045413B">
        <w:rPr>
          <w:b/>
          <w:bCs/>
        </w:rPr>
        <w:t xml:space="preserve"> Operation Soteria and the Victim Transformation Programme.</w:t>
      </w:r>
    </w:p>
    <w:p w14:paraId="67C81603" w14:textId="24F72D6A" w:rsidR="4C917B9B" w:rsidRPr="0045413B" w:rsidRDefault="4C917B9B">
      <w:pPr>
        <w:rPr>
          <w:b/>
          <w:bCs/>
        </w:rPr>
      </w:pPr>
      <w:r w:rsidRPr="0045413B">
        <w:rPr>
          <w:b/>
          <w:bCs/>
        </w:rPr>
        <w:t xml:space="preserve">Recommendation: To expand engagement with both universities in the city and other further and higher education providers, as part of RASSO and beyond, to develop plans around the specific student population in Sheffield and disproportionate impact of sexual violence on this age group. </w:t>
      </w:r>
    </w:p>
    <w:p w14:paraId="70A62F3E" w14:textId="77777777" w:rsidR="4C917B9B" w:rsidRPr="0045413B" w:rsidRDefault="4C917B9B" w:rsidP="2AEF0F6D">
      <w:pPr>
        <w:shd w:val="clear" w:color="auto" w:fill="FFFFFF" w:themeFill="background1"/>
        <w:rPr>
          <w:rStyle w:val="Strong"/>
        </w:rPr>
      </w:pPr>
      <w:r w:rsidRPr="0045413B">
        <w:rPr>
          <w:rStyle w:val="Strong"/>
        </w:rPr>
        <w:t>Recommendation: To use the data collated in this needs assessment and new Sheffield data from the public consultation surveys to develop plans specifically focusing on sexual harassment for inclusion in the new strategy. To include plans to increase knowledge in this area and support for those who have witnessed and experienced sexual harassment.</w:t>
      </w:r>
    </w:p>
    <w:p w14:paraId="12750CD3" w14:textId="77777777" w:rsidR="4C917B9B" w:rsidRPr="0045413B" w:rsidRDefault="4C917B9B" w:rsidP="2AEF0F6D">
      <w:pPr>
        <w:shd w:val="clear" w:color="auto" w:fill="FFFFFF" w:themeFill="background1"/>
        <w:rPr>
          <w:rStyle w:val="Strong"/>
        </w:rPr>
      </w:pPr>
      <w:r w:rsidRPr="0045413B">
        <w:rPr>
          <w:rStyle w:val="Strong"/>
        </w:rPr>
        <w:t>Recommendation: To utilise the introduction of these two pieces of legislation to raise awareness of sexual harassment and support options.</w:t>
      </w:r>
    </w:p>
    <w:p w14:paraId="4C864036" w14:textId="1AC4EE11" w:rsidR="4C917B9B" w:rsidRPr="0045413B" w:rsidRDefault="4C917B9B" w:rsidP="2AEF0F6D">
      <w:pPr>
        <w:shd w:val="clear" w:color="auto" w:fill="FFFFFF" w:themeFill="background1"/>
        <w:rPr>
          <w:b/>
          <w:bCs/>
        </w:rPr>
      </w:pPr>
      <w:r w:rsidRPr="0045413B">
        <w:rPr>
          <w:rStyle w:val="Strong"/>
        </w:rPr>
        <w:t>Recommendation: To monitor the impact of these legislative changes across agencies over the course of the strategy as part of existing work around RASSO and the White Ribbon workplan.</w:t>
      </w:r>
    </w:p>
    <w:p w14:paraId="1F2B6BCE" w14:textId="5EFDB1FC" w:rsidR="4C917B9B" w:rsidRPr="0045413B" w:rsidRDefault="4C917B9B" w:rsidP="2AEF0F6D">
      <w:pPr>
        <w:spacing w:line="256" w:lineRule="auto"/>
        <w:rPr>
          <w:b/>
          <w:bCs/>
        </w:rPr>
      </w:pPr>
      <w:r w:rsidRPr="0045413B">
        <w:rPr>
          <w:b/>
          <w:bCs/>
        </w:rPr>
        <w:t>Recommendation: To undertake further work during the strategy timeframe to better understand the needs of those who experience these lesser understood forms of harm in scope of the strategy.</w:t>
      </w:r>
    </w:p>
    <w:p w14:paraId="030E5DDA" w14:textId="1FD90AE3" w:rsidR="4C917B9B" w:rsidRPr="0045413B" w:rsidRDefault="4C917B9B" w:rsidP="2AEF0F6D">
      <w:pPr>
        <w:rPr>
          <w:b/>
          <w:bCs/>
        </w:rPr>
      </w:pPr>
      <w:r w:rsidRPr="0045413B">
        <w:rPr>
          <w:b/>
          <w:bCs/>
        </w:rPr>
        <w:t xml:space="preserve">Recommendation: To build a better understanding of the awareness and use of the Sexual Assault Referral Centre in Sheffield. </w:t>
      </w:r>
    </w:p>
    <w:p w14:paraId="54123C23" w14:textId="3D884719" w:rsidR="4C917B9B" w:rsidRDefault="4C917B9B" w:rsidP="2AEF0F6D">
      <w:pPr>
        <w:spacing w:line="256" w:lineRule="auto"/>
      </w:pPr>
      <w:r w:rsidRPr="0045413B">
        <w:rPr>
          <w:b/>
          <w:bCs/>
        </w:rPr>
        <w:t>Recommendation: To utilise the ongoing work in the city around embedding the voice of domestic abuse victim/survivors to explore the avenues for further embedding the voice of victim/survivors of sexual violence, including sexual harassment, and other forms of related harm.</w:t>
      </w:r>
    </w:p>
    <w:p w14:paraId="654C72E1" w14:textId="7AFD6D4C" w:rsidR="2AEF0F6D" w:rsidRDefault="2AEF0F6D"/>
    <w:sectPr w:rsidR="2AEF0F6D">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FD7E" w14:textId="77777777" w:rsidR="00580AC6" w:rsidRDefault="00580AC6" w:rsidP="007262DE">
      <w:pPr>
        <w:spacing w:after="0" w:line="240" w:lineRule="auto"/>
      </w:pPr>
      <w:r>
        <w:separator/>
      </w:r>
    </w:p>
  </w:endnote>
  <w:endnote w:type="continuationSeparator" w:id="0">
    <w:p w14:paraId="063209CF" w14:textId="77777777" w:rsidR="00580AC6" w:rsidRDefault="00580AC6" w:rsidP="007262DE">
      <w:pPr>
        <w:spacing w:after="0" w:line="240" w:lineRule="auto"/>
      </w:pPr>
      <w:r>
        <w:continuationSeparator/>
      </w:r>
    </w:p>
  </w:endnote>
  <w:endnote w:type="continuationNotice" w:id="1">
    <w:p w14:paraId="7C214933" w14:textId="77777777" w:rsidR="00580AC6" w:rsidRDefault="00580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15ED" w14:textId="77777777" w:rsidR="000A4A52" w:rsidRDefault="000A4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0383" w14:textId="7BE1A29D" w:rsidR="2AEF0F6D" w:rsidRDefault="2AEF0F6D" w:rsidP="2AEF0F6D">
    <w:pPr>
      <w:pStyle w:val="Footer"/>
      <w:jc w:val="right"/>
    </w:pPr>
    <w:r>
      <w:fldChar w:fldCharType="begin"/>
    </w:r>
    <w:r>
      <w:instrText>PAGE</w:instrText>
    </w:r>
    <w:r>
      <w:fldChar w:fldCharType="separate"/>
    </w:r>
    <w:r w:rsidR="003E2E90">
      <w:rPr>
        <w:noProof/>
      </w:rPr>
      <w:t>1</w:t>
    </w:r>
    <w:r>
      <w:fldChar w:fldCharType="end"/>
    </w:r>
  </w:p>
  <w:p w14:paraId="6F00F84D" w14:textId="63D08CAE" w:rsidR="000A4A52" w:rsidRDefault="2AEF0F6D">
    <w:pPr>
      <w:pStyle w:val="Footer"/>
    </w:pPr>
    <w:r>
      <w:t>Final Oct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4949" w14:textId="77777777" w:rsidR="000A4A52" w:rsidRDefault="000A4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175E" w14:textId="77777777" w:rsidR="00580AC6" w:rsidRDefault="00580AC6" w:rsidP="007262DE">
      <w:pPr>
        <w:spacing w:after="0" w:line="240" w:lineRule="auto"/>
      </w:pPr>
      <w:r>
        <w:separator/>
      </w:r>
    </w:p>
  </w:footnote>
  <w:footnote w:type="continuationSeparator" w:id="0">
    <w:p w14:paraId="3D8ADFBE" w14:textId="77777777" w:rsidR="00580AC6" w:rsidRDefault="00580AC6" w:rsidP="007262DE">
      <w:pPr>
        <w:spacing w:after="0" w:line="240" w:lineRule="auto"/>
      </w:pPr>
      <w:r>
        <w:continuationSeparator/>
      </w:r>
    </w:p>
  </w:footnote>
  <w:footnote w:type="continuationNotice" w:id="1">
    <w:p w14:paraId="55BB08F0" w14:textId="77777777" w:rsidR="00580AC6" w:rsidRDefault="00580AC6">
      <w:pPr>
        <w:spacing w:after="0" w:line="240" w:lineRule="auto"/>
      </w:pPr>
    </w:p>
  </w:footnote>
  <w:footnote w:id="2">
    <w:p w14:paraId="0806BBD4" w14:textId="77777777" w:rsidR="008E3EC3" w:rsidRDefault="008E3EC3" w:rsidP="008E3EC3">
      <w:pPr>
        <w:pStyle w:val="FootnoteText"/>
      </w:pPr>
      <w:r>
        <w:rPr>
          <w:rStyle w:val="FootnoteReference"/>
        </w:rPr>
        <w:footnoteRef/>
      </w:r>
      <w:r>
        <w:t xml:space="preserve"> </w:t>
      </w:r>
      <w:hyperlink r:id="rId1" w:history="1">
        <w:r>
          <w:rPr>
            <w:rStyle w:val="Hyperlink"/>
          </w:rPr>
          <w:t>Sexual violence: A snapshot of those harming LGBT+ people - Galop</w:t>
        </w:r>
      </w:hyperlink>
    </w:p>
  </w:footnote>
  <w:footnote w:id="3">
    <w:p w14:paraId="05607522" w14:textId="77777777" w:rsidR="008E3EC3" w:rsidRDefault="008E3EC3" w:rsidP="008E3EC3">
      <w:pPr>
        <w:pStyle w:val="FootnoteText"/>
      </w:pPr>
      <w:r>
        <w:rPr>
          <w:rStyle w:val="FootnoteReference"/>
        </w:rPr>
        <w:footnoteRef/>
      </w:r>
      <w:r>
        <w:t xml:space="preserve"> </w:t>
      </w:r>
      <w:hyperlink r:id="rId2" w:history="1">
        <w:r w:rsidRPr="00CD6886">
          <w:rPr>
            <w:rStyle w:val="Hyperlink"/>
          </w:rPr>
          <w:t>Disability and crime, UK - Office for National Statistics (ons.gov.uk)</w:t>
        </w:r>
      </w:hyperlink>
    </w:p>
  </w:footnote>
  <w:footnote w:id="4">
    <w:p w14:paraId="72C99059" w14:textId="77777777" w:rsidR="00E97636" w:rsidRDefault="00E97636" w:rsidP="00E97636">
      <w:r>
        <w:rPr>
          <w:rStyle w:val="FootnoteReference"/>
        </w:rPr>
        <w:footnoteRef/>
      </w:r>
      <w:r>
        <w:t xml:space="preserve"> . </w:t>
      </w:r>
      <w:hyperlink r:id="rId3" w:history="1">
        <w:r>
          <w:rPr>
            <w:rStyle w:val="Hyperlink"/>
          </w:rPr>
          <w:t>foi-response-01-foi-23-2317-sexual-offences.pdf (btp.police.uk)</w:t>
        </w:r>
      </w:hyperlink>
    </w:p>
  </w:footnote>
  <w:footnote w:id="5">
    <w:p w14:paraId="79810B8E" w14:textId="77777777" w:rsidR="00FB3FB5" w:rsidRDefault="00FB3FB5" w:rsidP="00FB3FB5">
      <w:pPr>
        <w:pStyle w:val="FootnoteText"/>
      </w:pPr>
      <w:r>
        <w:rPr>
          <w:rStyle w:val="FootnoteReference"/>
        </w:rPr>
        <w:footnoteRef/>
      </w:r>
      <w:r>
        <w:t xml:space="preserve"> </w:t>
      </w:r>
      <w:r>
        <w:rPr>
          <w:rFonts w:ascii="Open Sans" w:hAnsi="Open Sans" w:cs="Open Sans"/>
          <w:color w:val="323132"/>
          <w:sz w:val="27"/>
          <w:szCs w:val="27"/>
          <w:shd w:val="clear" w:color="auto" w:fill="FFFFFF"/>
        </w:rPr>
        <w:t> </w:t>
      </w:r>
      <w:hyperlink r:id="rId4" w:anchor="effects-of-the-sexual-assault-on-the-victim" w:history="1">
        <w:r>
          <w:rPr>
            <w:rStyle w:val="Hyperlink"/>
          </w:rPr>
          <w:t>Nature of sexual assault by rape or penetration, England and Wales - Office for National Statistics (ons.gov.uk)</w:t>
        </w:r>
      </w:hyperlink>
    </w:p>
  </w:footnote>
  <w:footnote w:id="6">
    <w:p w14:paraId="66A53421" w14:textId="77777777" w:rsidR="00FB3FB5" w:rsidRDefault="00FB3FB5" w:rsidP="00FB3FB5">
      <w:pPr>
        <w:pStyle w:val="FootnoteText"/>
      </w:pPr>
      <w:r>
        <w:rPr>
          <w:rStyle w:val="FootnoteReference"/>
        </w:rPr>
        <w:footnoteRef/>
      </w:r>
      <w:r>
        <w:t xml:space="preserve"> </w:t>
      </w:r>
      <w:hyperlink r:id="rId5" w:anchor="effects-of-the-sexual-assault-on-the-victim" w:history="1">
        <w:r>
          <w:rPr>
            <w:rStyle w:val="Hyperlink"/>
          </w:rPr>
          <w:t>Nature of sexual assault by rape or penetration, England and Wales - Office for National Statistics (ons.gov.uk)</w:t>
        </w:r>
      </w:hyperlink>
    </w:p>
  </w:footnote>
  <w:footnote w:id="7">
    <w:p w14:paraId="6ACDC568" w14:textId="77777777" w:rsidR="00FB3FB5" w:rsidRDefault="00FB3FB5" w:rsidP="00FB3FB5">
      <w:pPr>
        <w:pStyle w:val="FootnoteText"/>
      </w:pPr>
      <w:r>
        <w:rPr>
          <w:rStyle w:val="FootnoteReference"/>
        </w:rPr>
        <w:footnoteRef/>
      </w:r>
      <w:r>
        <w:t xml:space="preserve"> </w:t>
      </w:r>
      <w:r w:rsidRPr="00F84ED9">
        <w:t xml:space="preserve">Dworkin, E. R. (2020). Risk for Mental Disorders Associated </w:t>
      </w:r>
      <w:proofErr w:type="gramStart"/>
      <w:r w:rsidRPr="00F84ED9">
        <w:t>With</w:t>
      </w:r>
      <w:proofErr w:type="gramEnd"/>
      <w:r w:rsidRPr="00F84ED9">
        <w:t xml:space="preserve"> Sexual Assault: A Meta-Analysis. Trauma, Violence, &amp; Abuse, 21(5), 1011-1028. https://doi.org/10.1177/1524838018813198</w:t>
      </w:r>
    </w:p>
  </w:footnote>
  <w:footnote w:id="8">
    <w:p w14:paraId="731B0470" w14:textId="77777777" w:rsidR="00FB3FB5" w:rsidRDefault="00FB3FB5" w:rsidP="00FB3FB5">
      <w:pPr>
        <w:pStyle w:val="FootnoteText"/>
      </w:pPr>
      <w:r>
        <w:rPr>
          <w:rStyle w:val="FootnoteReference"/>
        </w:rPr>
        <w:footnoteRef/>
      </w:r>
      <w:r>
        <w:t xml:space="preserve"> </w:t>
      </w:r>
      <w:r w:rsidRPr="00530D1C">
        <w:t xml:space="preserve">Dworkin ER, Jaffe AE, Bedard-Gilligan M, Fitzpatrick S. PTSD in the Year Following Sexual Assault: A Meta-Analysis of Prospective Studies. Trauma Violence Abuse. 2023 Apr;24(2):497-514. </w:t>
      </w:r>
      <w:proofErr w:type="spellStart"/>
      <w:r w:rsidRPr="00530D1C">
        <w:t>doi</w:t>
      </w:r>
      <w:proofErr w:type="spellEnd"/>
      <w:r w:rsidRPr="00530D1C">
        <w:t xml:space="preserve">: 10.1177/15248380211032213. </w:t>
      </w:r>
      <w:proofErr w:type="spellStart"/>
      <w:r w:rsidRPr="00530D1C">
        <w:t>Epub</w:t>
      </w:r>
      <w:proofErr w:type="spellEnd"/>
      <w:r w:rsidRPr="00530D1C">
        <w:t xml:space="preserve"> 2021 Jul 19. PMID: 34275368; PMCID: PMC8766599.</w:t>
      </w:r>
    </w:p>
  </w:footnote>
  <w:footnote w:id="9">
    <w:p w14:paraId="0B6A25FD" w14:textId="074C7DC0" w:rsidR="008069FB" w:rsidRDefault="008069FB">
      <w:pPr>
        <w:pStyle w:val="FootnoteText"/>
      </w:pPr>
      <w:r>
        <w:rPr>
          <w:rStyle w:val="FootnoteReference"/>
        </w:rPr>
        <w:footnoteRef/>
      </w:r>
      <w:r w:rsidR="003A2831" w:rsidRPr="003A2831">
        <w:t>Kaul, A., Connell-Jones, L., Paphitis, S.A. </w:t>
      </w:r>
      <w:r w:rsidR="003A2831" w:rsidRPr="003A2831">
        <w:rPr>
          <w:i/>
          <w:iCs/>
        </w:rPr>
        <w:t>et al.</w:t>
      </w:r>
      <w:r w:rsidR="003A2831" w:rsidRPr="003A2831">
        <w:t> Prevalence and risk of sexual violence victimization among mental health service users: a systematic review and meta-analyses. </w:t>
      </w:r>
      <w:r w:rsidR="003A2831" w:rsidRPr="003A2831">
        <w:rPr>
          <w:i/>
          <w:iCs/>
        </w:rPr>
        <w:t xml:space="preserve">Soc Psychiatry </w:t>
      </w:r>
      <w:proofErr w:type="spellStart"/>
      <w:r w:rsidR="003A2831" w:rsidRPr="003A2831">
        <w:rPr>
          <w:i/>
          <w:iCs/>
        </w:rPr>
        <w:t>Psychiatr</w:t>
      </w:r>
      <w:proofErr w:type="spellEnd"/>
      <w:r w:rsidR="003A2831" w:rsidRPr="003A2831">
        <w:rPr>
          <w:i/>
          <w:iCs/>
        </w:rPr>
        <w:t xml:space="preserve"> </w:t>
      </w:r>
      <w:proofErr w:type="spellStart"/>
      <w:r w:rsidR="003A2831" w:rsidRPr="003A2831">
        <w:rPr>
          <w:i/>
          <w:iCs/>
        </w:rPr>
        <w:t>Epidemiol</w:t>
      </w:r>
      <w:proofErr w:type="spellEnd"/>
      <w:r w:rsidR="003A2831" w:rsidRPr="003A2831">
        <w:t> </w:t>
      </w:r>
      <w:r w:rsidR="003A2831" w:rsidRPr="003A2831">
        <w:rPr>
          <w:b/>
          <w:bCs/>
        </w:rPr>
        <w:t>59</w:t>
      </w:r>
      <w:r w:rsidR="003A2831" w:rsidRPr="003A2831">
        <w:t>, 1285–1297 (2024). https://doi.org/10.1007/s00127-024-02656-8</w:t>
      </w:r>
    </w:p>
  </w:footnote>
  <w:footnote w:id="10">
    <w:p w14:paraId="71A34CB8" w14:textId="4AD6ED37" w:rsidR="00900765" w:rsidRDefault="00900765">
      <w:pPr>
        <w:pStyle w:val="FootnoteText"/>
      </w:pPr>
      <w:r>
        <w:rPr>
          <w:rStyle w:val="FootnoteReference"/>
        </w:rPr>
        <w:footnoteRef/>
      </w:r>
      <w:r>
        <w:t xml:space="preserve"> </w:t>
      </w:r>
      <w:r w:rsidRPr="00900765">
        <w:t>Agenda Alliance and VISION Consortium (2023). Underexamined and Underreported: Suicidality and intimate partner violence – connecting two major public health domains</w:t>
      </w:r>
    </w:p>
  </w:footnote>
  <w:footnote w:id="11">
    <w:p w14:paraId="31142CD6" w14:textId="77777777" w:rsidR="00D41691" w:rsidRDefault="00D41691" w:rsidP="00D41691">
      <w:pPr>
        <w:pStyle w:val="FootnoteText"/>
      </w:pPr>
      <w:r>
        <w:rPr>
          <w:rStyle w:val="FootnoteReference"/>
        </w:rPr>
        <w:footnoteRef/>
      </w:r>
      <w:r>
        <w:t xml:space="preserve"> </w:t>
      </w:r>
      <w:hyperlink r:id="rId6" w:anchor="effects-of-the-sexual-assault-on-the-victim" w:history="1">
        <w:r>
          <w:rPr>
            <w:rStyle w:val="Hyperlink"/>
          </w:rPr>
          <w:t>Nature of sexual assault by rape or penetration, England and Wales - Office for National Statistics (ons.gov.uk)</w:t>
        </w:r>
      </w:hyperlink>
    </w:p>
  </w:footnote>
  <w:footnote w:id="12">
    <w:p w14:paraId="75833E88" w14:textId="4B9D0DEF" w:rsidR="007C559E" w:rsidRDefault="007C559E">
      <w:pPr>
        <w:pStyle w:val="FootnoteText"/>
      </w:pPr>
      <w:r>
        <w:rPr>
          <w:rStyle w:val="FootnoteReference"/>
        </w:rPr>
        <w:footnoteRef/>
      </w:r>
      <w:r>
        <w:t xml:space="preserve"> </w:t>
      </w:r>
      <w:hyperlink r:id="rId7" w:history="1">
        <w:r w:rsidR="00924047" w:rsidRPr="00924047">
          <w:rPr>
            <w:rStyle w:val="Hyperlink"/>
          </w:rPr>
          <w:t>NHS England » NHS urges more women to take up cervical screening invitations</w:t>
        </w:r>
      </w:hyperlink>
    </w:p>
  </w:footnote>
  <w:footnote w:id="13">
    <w:p w14:paraId="6620C87D" w14:textId="77777777" w:rsidR="00EB4B7A" w:rsidRDefault="00EB4B7A" w:rsidP="00EB4B7A">
      <w:pPr>
        <w:pStyle w:val="FootnoteText"/>
      </w:pPr>
      <w:r>
        <w:rPr>
          <w:rStyle w:val="FootnoteReference"/>
        </w:rPr>
        <w:footnoteRef/>
      </w:r>
      <w:r>
        <w:t xml:space="preserve"> </w:t>
      </w:r>
      <w:r w:rsidRPr="00410B0B">
        <w:t>The information and support needs of survivors of sexual violence around cervical screening</w:t>
      </w:r>
      <w:r>
        <w:t>, Rape Crisis and Jo’s Cervical Cancer Trust, 2018</w:t>
      </w:r>
    </w:p>
  </w:footnote>
  <w:footnote w:id="14">
    <w:p w14:paraId="146BDA49" w14:textId="1CEAFD8F" w:rsidR="0037279C" w:rsidRDefault="0037279C" w:rsidP="00981311">
      <w:pPr>
        <w:pStyle w:val="FootnoteText"/>
      </w:pPr>
      <w:r>
        <w:rPr>
          <w:rStyle w:val="FootnoteReference"/>
        </w:rPr>
        <w:footnoteRef/>
      </w:r>
      <w:r>
        <w:t xml:space="preserve"> </w:t>
      </w:r>
      <w:hyperlink r:id="rId8" w:history="1">
        <w:r w:rsidR="00981311" w:rsidRPr="00981311">
          <w:rPr>
            <w:rStyle w:val="Hyperlink"/>
          </w:rPr>
          <w:t>Cervical screening, my way, Women's attitudes and solutions to improve uptake of cervical screening. Healthwatch England, 2018.</w:t>
        </w:r>
      </w:hyperlink>
    </w:p>
  </w:footnote>
  <w:footnote w:id="15">
    <w:p w14:paraId="7C80D66F" w14:textId="3CF15D07" w:rsidR="006031BF" w:rsidRDefault="006031BF">
      <w:pPr>
        <w:pStyle w:val="FootnoteText"/>
      </w:pPr>
      <w:r>
        <w:rPr>
          <w:rStyle w:val="FootnoteReference"/>
        </w:rPr>
        <w:footnoteRef/>
      </w:r>
      <w:r>
        <w:t xml:space="preserve"> </w:t>
      </w:r>
      <w:r w:rsidR="00CE4638" w:rsidRPr="00CE4638">
        <w:t>UK Home Office (July 2018) The economic and social costs of crime, Second edition: Research Report 99 (https://bit.ly/3220wlb)</w:t>
      </w:r>
    </w:p>
  </w:footnote>
  <w:footnote w:id="16">
    <w:p w14:paraId="1AC19355" w14:textId="465CE6EA" w:rsidR="00311C57" w:rsidRDefault="00311C57">
      <w:pPr>
        <w:pStyle w:val="FootnoteText"/>
      </w:pPr>
      <w:r>
        <w:rPr>
          <w:rStyle w:val="FootnoteReference"/>
        </w:rPr>
        <w:footnoteRef/>
      </w:r>
      <w:r>
        <w:t xml:space="preserve"> </w:t>
      </w:r>
      <w:hyperlink r:id="rId9" w:history="1">
        <w:r w:rsidR="009130C5" w:rsidRPr="009130C5">
          <w:rPr>
            <w:rStyle w:val="Hyperlink"/>
          </w:rPr>
          <w:t>Bunce, A.</w:t>
        </w:r>
      </w:hyperlink>
      <w:r w:rsidR="009130C5" w:rsidRPr="009130C5">
        <w:t> , Smith, K., Carlisle, S. view all authors (2024). Challenges of using specialist domestic and sexual violence and abuse service data to inform policy and practice on violence reduction in the UK. </w:t>
      </w:r>
      <w:r w:rsidR="009130C5" w:rsidRPr="009130C5">
        <w:rPr>
          <w:i/>
          <w:iCs/>
        </w:rPr>
        <w:t>Journal of Gender-Based Violence</w:t>
      </w:r>
      <w:r w:rsidR="009130C5" w:rsidRPr="009130C5">
        <w:t xml:space="preserve">, </w:t>
      </w:r>
      <w:proofErr w:type="spellStart"/>
      <w:r w:rsidR="009130C5" w:rsidRPr="009130C5">
        <w:t>doi</w:t>
      </w:r>
      <w:proofErr w:type="spellEnd"/>
      <w:r w:rsidR="009130C5" w:rsidRPr="009130C5">
        <w:t>: </w:t>
      </w:r>
      <w:hyperlink r:id="rId10" w:tgtFrame="_blank" w:history="1">
        <w:r w:rsidR="009130C5" w:rsidRPr="009130C5">
          <w:rPr>
            <w:rStyle w:val="Hyperlink"/>
          </w:rPr>
          <w:t>10.1332/23986808y2024d000000024</w:t>
        </w:r>
      </w:hyperlink>
      <w:r w:rsidR="00564BC0" w:rsidRPr="00564BC0">
        <w:t xml:space="preserve">. 355-378. </w:t>
      </w:r>
    </w:p>
  </w:footnote>
  <w:footnote w:id="17">
    <w:p w14:paraId="54474698" w14:textId="67451906" w:rsidR="00724F9A" w:rsidRDefault="00724F9A">
      <w:pPr>
        <w:pStyle w:val="FootnoteText"/>
      </w:pPr>
      <w:r>
        <w:rPr>
          <w:rStyle w:val="FootnoteReference"/>
        </w:rPr>
        <w:footnoteRef/>
      </w:r>
      <w:r>
        <w:t xml:space="preserve"> </w:t>
      </w:r>
      <w:r w:rsidR="00E76CAA" w:rsidRPr="00E76CAA">
        <w:t xml:space="preserve">Lifetime cost of sexual violence in Essex A UKRI Violence, Abuse and Mental Health Network funded project </w:t>
      </w:r>
      <w:proofErr w:type="spellStart"/>
      <w:r w:rsidR="00E76CAA" w:rsidRPr="00E76CAA">
        <w:t>Project</w:t>
      </w:r>
      <w:proofErr w:type="spellEnd"/>
      <w:r w:rsidR="00E76CAA" w:rsidRPr="00E76CAA">
        <w:t xml:space="preserve"> report</w:t>
      </w:r>
    </w:p>
  </w:footnote>
  <w:footnote w:id="18">
    <w:p w14:paraId="2236F747" w14:textId="4CB9E991" w:rsidR="00A51FE7" w:rsidRDefault="00A51FE7">
      <w:pPr>
        <w:pStyle w:val="FootnoteText"/>
      </w:pPr>
      <w:r>
        <w:rPr>
          <w:rStyle w:val="FootnoteReference"/>
        </w:rPr>
        <w:footnoteRef/>
      </w:r>
      <w:r>
        <w:t xml:space="preserve"> CSEW, </w:t>
      </w:r>
      <w:hyperlink r:id="rId11" w:history="1">
        <w:r w:rsidR="00EE25EB" w:rsidRPr="00EE25EB">
          <w:rPr>
            <w:rStyle w:val="Hyperlink"/>
          </w:rPr>
          <w:t>Sexual offences victim characteristics, England and Wales: year ending March 2022</w:t>
        </w:r>
      </w:hyperlink>
    </w:p>
  </w:footnote>
  <w:footnote w:id="19">
    <w:p w14:paraId="21916272" w14:textId="3A35374E" w:rsidR="006519D2" w:rsidRDefault="006519D2">
      <w:pPr>
        <w:pStyle w:val="FootnoteText"/>
      </w:pPr>
      <w:r>
        <w:rPr>
          <w:rStyle w:val="FootnoteReference"/>
        </w:rPr>
        <w:footnoteRef/>
      </w:r>
      <w:r>
        <w:t xml:space="preserve"> </w:t>
      </w:r>
      <w:hyperlink r:id="rId12" w:anchor="effects-of-the-sexual-assault-on-the-victim" w:history="1">
        <w:r w:rsidRPr="006519D2">
          <w:rPr>
            <w:rStyle w:val="Hyperlink"/>
          </w:rPr>
          <w:t>Nature of sexual assault by rape or penetration, England and Wales - Office for National Statistics (ons.gov.uk)</w:t>
        </w:r>
      </w:hyperlink>
      <w:r w:rsidR="00416BE4" w:rsidRPr="00416BE4">
        <w:rPr>
          <w:noProof/>
        </w:rPr>
        <w:t xml:space="preserve"> </w:t>
      </w:r>
    </w:p>
  </w:footnote>
  <w:footnote w:id="20">
    <w:p w14:paraId="10E93368" w14:textId="7AA05B4C" w:rsidR="00170580" w:rsidRDefault="00170580">
      <w:pPr>
        <w:pStyle w:val="FootnoteText"/>
      </w:pPr>
      <w:r>
        <w:rPr>
          <w:rStyle w:val="FootnoteReference"/>
        </w:rPr>
        <w:footnoteRef/>
      </w:r>
      <w:r>
        <w:t xml:space="preserve"> </w:t>
      </w:r>
      <w:hyperlink r:id="rId13" w:history="1">
        <w:r w:rsidR="001428B4" w:rsidRPr="001428B4">
          <w:rPr>
            <w:rStyle w:val="Hyperlink"/>
          </w:rPr>
          <w:t>EVAW_SexualViolence_211028-1.xls-Compatibility-Mode.pdf (endviolenceagainstwomen.org.uk)</w:t>
        </w:r>
      </w:hyperlink>
    </w:p>
  </w:footnote>
  <w:footnote w:id="21">
    <w:p w14:paraId="1C18CAD7" w14:textId="77777777" w:rsidR="00F81B44" w:rsidRPr="00F81B44" w:rsidRDefault="00500209" w:rsidP="00F81B44">
      <w:pPr>
        <w:pStyle w:val="FootnoteText"/>
        <w:rPr>
          <w:rStyle w:val="Hyperlink"/>
          <w:b/>
          <w:bCs/>
        </w:rPr>
      </w:pPr>
      <w:r>
        <w:rPr>
          <w:rStyle w:val="FootnoteReference"/>
        </w:rPr>
        <w:footnoteRef/>
      </w:r>
      <w:r>
        <w:t xml:space="preserve"> </w:t>
      </w:r>
      <w:r w:rsidR="00F81B44" w:rsidRPr="00F81B44">
        <w:fldChar w:fldCharType="begin"/>
      </w:r>
      <w:r w:rsidR="00F81B44" w:rsidRPr="00F81B44">
        <w:instrText>HYPERLINK "https://d3nkl3psvxxpe9.cloudfront.net/documents/Refuge_VAWG_240115_W.pdf" \t "_blank"</w:instrText>
      </w:r>
      <w:r w:rsidR="00F81B44" w:rsidRPr="00F81B44">
        <w:fldChar w:fldCharType="separate"/>
      </w:r>
    </w:p>
    <w:p w14:paraId="7E2A63C2" w14:textId="77777777" w:rsidR="00F81B44" w:rsidRPr="00F81B44" w:rsidRDefault="00F81B44" w:rsidP="00F81B44">
      <w:pPr>
        <w:pStyle w:val="FootnoteText"/>
        <w:rPr>
          <w:rStyle w:val="Hyperlink"/>
          <w:b/>
          <w:bCs/>
        </w:rPr>
      </w:pPr>
      <w:r w:rsidRPr="00F81B44">
        <w:rPr>
          <w:rStyle w:val="Hyperlink"/>
          <w:b/>
          <w:bCs/>
        </w:rPr>
        <w:t>Violence Against Women | YouGov / Refuge Results 12th-15th January 2024</w:t>
      </w:r>
    </w:p>
    <w:p w14:paraId="6143C300" w14:textId="3B41F885" w:rsidR="00500209" w:rsidRDefault="00F81B44" w:rsidP="00F81B44">
      <w:pPr>
        <w:pStyle w:val="FootnoteText"/>
      </w:pPr>
      <w:r w:rsidRPr="00F81B44">
        <w:fldChar w:fldCharType="end"/>
      </w:r>
    </w:p>
  </w:footnote>
  <w:footnote w:id="22">
    <w:p w14:paraId="4E5739D7" w14:textId="77777777" w:rsidR="00E32CEB" w:rsidRPr="00304BB6" w:rsidRDefault="00E32CEB" w:rsidP="00E32CEB">
      <w:pPr>
        <w:pStyle w:val="FootnoteText"/>
        <w:rPr>
          <w:b/>
          <w:bCs/>
        </w:rPr>
      </w:pPr>
      <w:r>
        <w:rPr>
          <w:rStyle w:val="FootnoteReference"/>
        </w:rPr>
        <w:footnoteRef/>
      </w:r>
      <w:r>
        <w:t xml:space="preserve"> Plan International UK, </w:t>
      </w:r>
      <w:r w:rsidRPr="00304BB6">
        <w:rPr>
          <w:b/>
          <w:bCs/>
        </w:rPr>
        <w:t>The State of Girls Rights in the UK 2024</w:t>
      </w:r>
    </w:p>
  </w:footnote>
  <w:footnote w:id="23">
    <w:p w14:paraId="4B6E3387" w14:textId="037DFDC5" w:rsidR="00A8469C" w:rsidRPr="00A8469C" w:rsidRDefault="00A8469C">
      <w:pPr>
        <w:pStyle w:val="FootnoteText"/>
        <w:rPr>
          <w:b/>
          <w:bCs/>
        </w:rPr>
      </w:pPr>
      <w:r>
        <w:rPr>
          <w:rStyle w:val="FootnoteReference"/>
        </w:rPr>
        <w:footnoteRef/>
      </w:r>
      <w:r>
        <w:t xml:space="preserve"> </w:t>
      </w:r>
      <w:r w:rsidRPr="00A8469C">
        <w:rPr>
          <w:b/>
          <w:bCs/>
        </w:rPr>
        <w:t>CPS and Equally Ours: Research into the public understanding of Rape and Serious Sexual Offences (RASSO) and consent</w:t>
      </w:r>
    </w:p>
  </w:footnote>
  <w:footnote w:id="24">
    <w:p w14:paraId="1A142711" w14:textId="10A051C4" w:rsidR="001E6E37" w:rsidRDefault="001E6E37">
      <w:pPr>
        <w:pStyle w:val="FootnoteText"/>
      </w:pPr>
      <w:r>
        <w:rPr>
          <w:rStyle w:val="FootnoteReference"/>
        </w:rPr>
        <w:footnoteRef/>
      </w:r>
      <w:r>
        <w:t xml:space="preserve"> </w:t>
      </w:r>
      <w:r w:rsidR="003B14A3" w:rsidRPr="003B14A3">
        <w:t>King, Alice Catherine, Munro, Vanessa and Young Andrade, Lotte (2024) </w:t>
      </w:r>
      <w:r w:rsidR="003B14A3" w:rsidRPr="003B14A3">
        <w:rPr>
          <w:i/>
          <w:iCs/>
        </w:rPr>
        <w:t xml:space="preserve">Operation </w:t>
      </w:r>
      <w:proofErr w:type="gramStart"/>
      <w:r w:rsidR="003B14A3" w:rsidRPr="003B14A3">
        <w:rPr>
          <w:i/>
          <w:iCs/>
        </w:rPr>
        <w:t>Soteria :</w:t>
      </w:r>
      <w:proofErr w:type="gramEnd"/>
      <w:r w:rsidR="003B14A3" w:rsidRPr="003B14A3">
        <w:rPr>
          <w:i/>
          <w:iCs/>
        </w:rPr>
        <w:t xml:space="preserve"> improving CPS responses to rape complaints and complainants.</w:t>
      </w:r>
      <w:r w:rsidR="003B14A3" w:rsidRPr="003B14A3">
        <w:t> Coventry, UK: The University of Warwick.</w:t>
      </w:r>
    </w:p>
  </w:footnote>
  <w:footnote w:id="25">
    <w:p w14:paraId="2948B06E" w14:textId="3472198A" w:rsidR="00BF73DC" w:rsidRDefault="00BF73DC">
      <w:pPr>
        <w:pStyle w:val="FootnoteText"/>
      </w:pPr>
      <w:r>
        <w:rPr>
          <w:rStyle w:val="FootnoteReference"/>
        </w:rPr>
        <w:footnoteRef/>
      </w:r>
      <w:r>
        <w:t xml:space="preserve"> </w:t>
      </w:r>
      <w:hyperlink r:id="rId14" w:anchor="perpetrator-characteristics" w:history="1">
        <w:r w:rsidRPr="00BF73DC">
          <w:rPr>
            <w:rStyle w:val="Hyperlink"/>
          </w:rPr>
          <w:t>Nature of sexual assault by rape or penetration, England and Wales - Office for National Statistics (ons.gov.uk)</w:t>
        </w:r>
      </w:hyperlink>
    </w:p>
  </w:footnote>
  <w:footnote w:id="26">
    <w:p w14:paraId="30DDD82C" w14:textId="38EDC5D1" w:rsidR="00AF552D" w:rsidRPr="00AF552D" w:rsidRDefault="000770CB" w:rsidP="00AF552D">
      <w:pPr>
        <w:pStyle w:val="FootnoteText"/>
        <w:rPr>
          <w:b/>
          <w:bCs/>
        </w:rPr>
      </w:pPr>
      <w:r>
        <w:rPr>
          <w:rStyle w:val="FootnoteReference"/>
        </w:rPr>
        <w:footnoteRef/>
      </w:r>
      <w:r>
        <w:t xml:space="preserve"> </w:t>
      </w:r>
      <w:r w:rsidR="00AF552D" w:rsidRPr="00AF552D">
        <w:rPr>
          <w:b/>
          <w:bCs/>
        </w:rPr>
        <w:t>Progress to introduce a national operating model for rape and other serious sexual offences investigations</w:t>
      </w:r>
      <w:r w:rsidR="00AF552D">
        <w:rPr>
          <w:b/>
          <w:bCs/>
        </w:rPr>
        <w:t>, HMICFRS, 2024</w:t>
      </w:r>
    </w:p>
    <w:p w14:paraId="583DA642" w14:textId="49BAE3E8" w:rsidR="000770CB" w:rsidRDefault="000770CB">
      <w:pPr>
        <w:pStyle w:val="FootnoteText"/>
      </w:pPr>
    </w:p>
  </w:footnote>
  <w:footnote w:id="27">
    <w:p w14:paraId="6DBE7B04" w14:textId="33B7909E" w:rsidR="007755FB" w:rsidRDefault="007755FB">
      <w:pPr>
        <w:pStyle w:val="FootnoteText"/>
      </w:pPr>
      <w:r>
        <w:rPr>
          <w:rStyle w:val="FootnoteReference"/>
        </w:rPr>
        <w:footnoteRef/>
      </w:r>
      <w:r>
        <w:t xml:space="preserve"> </w:t>
      </w:r>
      <w:r w:rsidR="005D257A" w:rsidRPr="005D257A">
        <w:t>Crest Advisory (2022) A Victims’ Strategic Needs Assessment for the Crown Prosecution Service.</w:t>
      </w:r>
    </w:p>
  </w:footnote>
  <w:footnote w:id="28">
    <w:p w14:paraId="391D8A64" w14:textId="77777777" w:rsidR="00100AEB" w:rsidRDefault="00100AEB" w:rsidP="00100AEB">
      <w:pPr>
        <w:pStyle w:val="FootnoteText"/>
      </w:pPr>
      <w:r>
        <w:rPr>
          <w:rStyle w:val="FootnoteReference"/>
        </w:rPr>
        <w:footnoteRef/>
      </w:r>
      <w:r>
        <w:t xml:space="preserve"> College of Policing, MAPPA</w:t>
      </w:r>
    </w:p>
  </w:footnote>
  <w:footnote w:id="29">
    <w:p w14:paraId="3D530175" w14:textId="77777777" w:rsidR="00100AEB" w:rsidRDefault="00100AEB" w:rsidP="00100AEB">
      <w:pPr>
        <w:pStyle w:val="FootnoteText"/>
      </w:pPr>
      <w:r>
        <w:rPr>
          <w:rStyle w:val="FootnoteReference"/>
        </w:rPr>
        <w:footnoteRef/>
      </w:r>
      <w:r>
        <w:t xml:space="preserve"> </w:t>
      </w:r>
      <w:r w:rsidRPr="00A87E25">
        <w:t>Multi-Agency Public Protection Arrangements (MAPPA) Annual Report 2022/23</w:t>
      </w:r>
    </w:p>
  </w:footnote>
  <w:footnote w:id="30">
    <w:p w14:paraId="346BCB42" w14:textId="77777777" w:rsidR="00100AEB" w:rsidRDefault="00100AEB" w:rsidP="00100AEB">
      <w:pPr>
        <w:pStyle w:val="FootnoteText"/>
      </w:pPr>
      <w:r>
        <w:rPr>
          <w:rStyle w:val="FootnoteReference"/>
        </w:rPr>
        <w:footnoteRef/>
      </w:r>
      <w:r>
        <w:t xml:space="preserve"> </w:t>
      </w:r>
      <w:hyperlink r:id="rId15" w:tgtFrame="_self" w:history="1">
        <w:r w:rsidRPr="0061271C">
          <w:rPr>
            <w:rStyle w:val="Hyperlink"/>
          </w:rPr>
          <w:t>South Yorkshire MAPPA annual report 2022 to '23</w:t>
        </w:r>
      </w:hyperlink>
    </w:p>
  </w:footnote>
  <w:footnote w:id="31">
    <w:p w14:paraId="757A7497" w14:textId="26A010FA" w:rsidR="00AD1753" w:rsidRDefault="00AD1753">
      <w:pPr>
        <w:pStyle w:val="FootnoteText"/>
      </w:pPr>
      <w:r>
        <w:rPr>
          <w:rStyle w:val="FootnoteReference"/>
        </w:rPr>
        <w:footnoteRef/>
      </w:r>
      <w:r>
        <w:rPr>
          <w:rStyle w:val="FootnoteReference"/>
        </w:rPr>
        <w:footnoteRef/>
      </w:r>
      <w:r>
        <w:t xml:space="preserve"> </w:t>
      </w:r>
      <w:hyperlink r:id="rId16" w:history="1">
        <w:r w:rsidR="00D05564" w:rsidRPr="00D05564">
          <w:rPr>
            <w:rStyle w:val="Hyperlink"/>
          </w:rPr>
          <w:t>Registered Sex Offenders (RSOs) and Sexual Harm Prevention Orders (SHPOs) | South Yorkshire Police</w:t>
        </w:r>
      </w:hyperlink>
    </w:p>
  </w:footnote>
  <w:footnote w:id="32">
    <w:p w14:paraId="26617014" w14:textId="77777777" w:rsidR="00100AEB" w:rsidRPr="004735A7" w:rsidRDefault="00100AEB" w:rsidP="00100AEB">
      <w:pPr>
        <w:pStyle w:val="FootnoteText"/>
      </w:pPr>
      <w:r w:rsidRPr="004735A7">
        <w:rPr>
          <w:rStyle w:val="FootnoteReference"/>
        </w:rPr>
        <w:footnoteRef/>
      </w:r>
      <w:r w:rsidRPr="004735A7">
        <w:t xml:space="preserve"> Progress to introduce a national operating model for rape and other serious sexual offences investigations</w:t>
      </w:r>
      <w:r>
        <w:t>, HMICFRS</w:t>
      </w:r>
    </w:p>
    <w:p w14:paraId="03158596" w14:textId="77777777" w:rsidR="00100AEB" w:rsidRDefault="00100AEB" w:rsidP="00100AEB">
      <w:pPr>
        <w:pStyle w:val="FootnoteText"/>
      </w:pPr>
    </w:p>
  </w:footnote>
  <w:footnote w:id="33">
    <w:p w14:paraId="6BB2888E" w14:textId="77777777" w:rsidR="00100AEB" w:rsidRDefault="00100AEB" w:rsidP="00100AEB">
      <w:pPr>
        <w:pStyle w:val="FootnoteText"/>
      </w:pPr>
      <w:r>
        <w:rPr>
          <w:rStyle w:val="FootnoteReference"/>
        </w:rPr>
        <w:footnoteRef/>
      </w:r>
      <w:r>
        <w:t xml:space="preserve"> </w:t>
      </w:r>
      <w:hyperlink r:id="rId17" w:history="1">
        <w:r w:rsidRPr="00965908">
          <w:rPr>
            <w:rStyle w:val="Hyperlink"/>
          </w:rPr>
          <w:t>Prisons data - Justice Data</w:t>
        </w:r>
      </w:hyperlink>
    </w:p>
  </w:footnote>
  <w:footnote w:id="34">
    <w:p w14:paraId="4D74B1EE" w14:textId="759A5335" w:rsidR="004B7F54" w:rsidRDefault="004B7F54">
      <w:pPr>
        <w:pStyle w:val="FootnoteText"/>
      </w:pPr>
      <w:r>
        <w:rPr>
          <w:rStyle w:val="FootnoteReference"/>
        </w:rPr>
        <w:footnoteRef/>
      </w:r>
      <w:r>
        <w:t xml:space="preserve"> </w:t>
      </w:r>
      <w:r w:rsidRPr="004B7F54">
        <w:t>Sexual Harassment Survey 202</w:t>
      </w:r>
      <w:r>
        <w:t>0, Government Equalities Office</w:t>
      </w:r>
    </w:p>
  </w:footnote>
  <w:footnote w:id="35">
    <w:p w14:paraId="0A945D30" w14:textId="203A9DF4" w:rsidR="00D253B7" w:rsidRDefault="00D253B7">
      <w:pPr>
        <w:pStyle w:val="FootnoteText"/>
      </w:pPr>
      <w:r>
        <w:rPr>
          <w:rStyle w:val="FootnoteReference"/>
        </w:rPr>
        <w:footnoteRef/>
      </w:r>
      <w:r>
        <w:t xml:space="preserve"> </w:t>
      </w:r>
      <w:r w:rsidRPr="00D253B7">
        <w:t>Still just a bit of banter?</w:t>
      </w:r>
      <w:r>
        <w:t xml:space="preserve"> TUC and Everyday Sexism</w:t>
      </w:r>
    </w:p>
  </w:footnote>
  <w:footnote w:id="36">
    <w:p w14:paraId="09D17E08" w14:textId="23B55C77" w:rsidR="003A1473" w:rsidRDefault="003A1473">
      <w:pPr>
        <w:pStyle w:val="FootnoteText"/>
      </w:pPr>
      <w:r>
        <w:rPr>
          <w:rStyle w:val="FootnoteReference"/>
        </w:rPr>
        <w:footnoteRef/>
      </w:r>
      <w:r>
        <w:t xml:space="preserve"> </w:t>
      </w:r>
      <w:r w:rsidRPr="003A1473">
        <w:t>Sexual harassment of LGBT people in the workplace</w:t>
      </w:r>
      <w:r>
        <w:t>, TUC</w:t>
      </w:r>
    </w:p>
  </w:footnote>
  <w:footnote w:id="37">
    <w:p w14:paraId="76B6B27B" w14:textId="38B5DCE2" w:rsidR="00AE1DA5" w:rsidRDefault="00AE1DA5">
      <w:pPr>
        <w:pStyle w:val="FootnoteText"/>
      </w:pPr>
      <w:r>
        <w:rPr>
          <w:rStyle w:val="FootnoteReference"/>
        </w:rPr>
        <w:footnoteRef/>
      </w:r>
      <w:r>
        <w:t xml:space="preserve"> </w:t>
      </w:r>
      <w:r w:rsidR="00E04DD2" w:rsidRPr="00E04DD2">
        <w:t>Sexual harassment of disabled women in the workplace</w:t>
      </w:r>
      <w:r w:rsidR="00E04DD2">
        <w:t>, TUC</w:t>
      </w:r>
    </w:p>
  </w:footnote>
  <w:footnote w:id="38">
    <w:p w14:paraId="334858F2" w14:textId="2103AFFD" w:rsidR="00AE273C" w:rsidRDefault="00AE273C">
      <w:pPr>
        <w:pStyle w:val="FootnoteText"/>
      </w:pPr>
      <w:r>
        <w:rPr>
          <w:rStyle w:val="FootnoteReference"/>
        </w:rPr>
        <w:footnoteRef/>
      </w:r>
      <w:r>
        <w:t xml:space="preserve"> TUC Poll</w:t>
      </w:r>
    </w:p>
  </w:footnote>
  <w:footnote w:id="39">
    <w:p w14:paraId="675EC1C4" w14:textId="0186A6BA" w:rsidR="003A08E6" w:rsidRDefault="003A08E6">
      <w:pPr>
        <w:pStyle w:val="FootnoteText"/>
      </w:pPr>
      <w:r>
        <w:rPr>
          <w:rStyle w:val="FootnoteReference"/>
        </w:rPr>
        <w:footnoteRef/>
      </w:r>
      <w:r>
        <w:t xml:space="preserve"> </w:t>
      </w:r>
      <w:hyperlink r:id="rId18" w:history="1">
        <w:r w:rsidR="00B620DE" w:rsidRPr="00B620DE">
          <w:rPr>
            <w:rStyle w:val="Hyperlink"/>
          </w:rPr>
          <w:t>NHS staff have been shown porn and offered money for sex at work | News, Press release | News | UNISON National</w:t>
        </w:r>
      </w:hyperlink>
    </w:p>
  </w:footnote>
  <w:footnote w:id="40">
    <w:p w14:paraId="6D08F5FC" w14:textId="622110CB" w:rsidR="00AD7DA4" w:rsidRDefault="00AD7DA4">
      <w:pPr>
        <w:pStyle w:val="FootnoteText"/>
      </w:pPr>
      <w:r>
        <w:rPr>
          <w:rStyle w:val="FootnoteReference"/>
        </w:rPr>
        <w:footnoteRef/>
      </w:r>
      <w:r>
        <w:t xml:space="preserve"> </w:t>
      </w:r>
      <w:hyperlink r:id="rId19" w:history="1">
        <w:r w:rsidRPr="00AD7DA4">
          <w:rPr>
            <w:rStyle w:val="Hyperlink"/>
          </w:rPr>
          <w:t>Challenging Sexual Harassment in Low Paid &amp; Precarious Hospitality Work</w:t>
        </w:r>
      </w:hyperlink>
    </w:p>
  </w:footnote>
  <w:footnote w:id="41">
    <w:p w14:paraId="54A415CC" w14:textId="63289830" w:rsidR="000443BB" w:rsidRPr="000443BB" w:rsidRDefault="002A173C" w:rsidP="000443BB">
      <w:pPr>
        <w:pStyle w:val="FootnoteText"/>
      </w:pPr>
      <w:r w:rsidRPr="000443BB">
        <w:rPr>
          <w:rStyle w:val="FootnoteReference"/>
        </w:rPr>
        <w:footnoteRef/>
      </w:r>
      <w:r w:rsidRPr="000443BB">
        <w:t xml:space="preserve"> </w:t>
      </w:r>
      <w:r w:rsidR="000443BB" w:rsidRPr="000443BB">
        <w:t>Review of sexual abuse in schools and colleges, Ofsted</w:t>
      </w:r>
    </w:p>
    <w:p w14:paraId="0F8F77BE" w14:textId="35E5218E" w:rsidR="002A173C" w:rsidRDefault="002A173C">
      <w:pPr>
        <w:pStyle w:val="FootnoteText"/>
      </w:pPr>
    </w:p>
  </w:footnote>
  <w:footnote w:id="42">
    <w:p w14:paraId="0D72E37D" w14:textId="01756824" w:rsidR="00D64893" w:rsidRDefault="00D64893">
      <w:pPr>
        <w:pStyle w:val="FootnoteText"/>
      </w:pPr>
      <w:r>
        <w:rPr>
          <w:rStyle w:val="FootnoteReference"/>
        </w:rPr>
        <w:footnoteRef/>
      </w:r>
      <w:r>
        <w:t xml:space="preserve"> </w:t>
      </w:r>
      <w:r w:rsidRPr="00D64893">
        <w:t>Sexism in schools survey 2024</w:t>
      </w:r>
      <w:r>
        <w:t>, UNISON</w:t>
      </w:r>
    </w:p>
  </w:footnote>
  <w:footnote w:id="43">
    <w:p w14:paraId="68E5B5E1" w14:textId="6D3D3933" w:rsidR="008B101C" w:rsidRDefault="008B101C">
      <w:pPr>
        <w:pStyle w:val="FootnoteText"/>
      </w:pPr>
      <w:r>
        <w:rPr>
          <w:rStyle w:val="FootnoteReference"/>
        </w:rPr>
        <w:footnoteRef/>
      </w:r>
      <w:r>
        <w:t xml:space="preserve"> </w:t>
      </w:r>
      <w:r w:rsidR="00BF1A84">
        <w:t>Sexual Harassment in South Yorkshire Schools 2023, Learn Sheffield</w:t>
      </w:r>
    </w:p>
  </w:footnote>
  <w:footnote w:id="44">
    <w:p w14:paraId="2EFA19C6" w14:textId="068D7602" w:rsidR="00274C0F" w:rsidRDefault="00274C0F">
      <w:pPr>
        <w:pStyle w:val="FootnoteText"/>
      </w:pPr>
      <w:r>
        <w:rPr>
          <w:rStyle w:val="FootnoteReference"/>
        </w:rPr>
        <w:footnoteRef/>
      </w:r>
      <w:r>
        <w:t xml:space="preserve"> </w:t>
      </w:r>
      <w:r w:rsidR="009E3EEC" w:rsidRPr="009E3EEC">
        <w:t>Sexual Violence Campus Climate Survey</w:t>
      </w:r>
    </w:p>
  </w:footnote>
  <w:footnote w:id="45">
    <w:p w14:paraId="257A3DA2" w14:textId="402545D1" w:rsidR="008D4F79" w:rsidRDefault="008D4F79">
      <w:pPr>
        <w:pStyle w:val="FootnoteText"/>
      </w:pPr>
      <w:r>
        <w:rPr>
          <w:rStyle w:val="FootnoteReference"/>
        </w:rPr>
        <w:footnoteRef/>
      </w:r>
      <w:r>
        <w:t xml:space="preserve"> CSEW, Harassment Estimates, 2022</w:t>
      </w:r>
    </w:p>
  </w:footnote>
  <w:footnote w:id="46">
    <w:p w14:paraId="6F38FC05" w14:textId="2971893F" w:rsidR="00483CF7" w:rsidRDefault="00483CF7">
      <w:pPr>
        <w:pStyle w:val="FootnoteText"/>
      </w:pPr>
      <w:r>
        <w:rPr>
          <w:rStyle w:val="FootnoteReference"/>
        </w:rPr>
        <w:footnoteRef/>
      </w:r>
      <w:r>
        <w:t xml:space="preserve"> </w:t>
      </w:r>
      <w:r w:rsidR="007C5CE8" w:rsidRPr="007C5CE8">
        <w:t>WHAT WORKS FOR ENDING PUBLIC SEXUAL HARASSMENT</w:t>
      </w:r>
      <w:r w:rsidR="007C5CE8">
        <w:t>, PLAN INTERNATIONAL UK, 2021</w:t>
      </w:r>
    </w:p>
  </w:footnote>
  <w:footnote w:id="47">
    <w:p w14:paraId="3C7B389C" w14:textId="578F0D48" w:rsidR="00E81168" w:rsidRDefault="00E81168">
      <w:pPr>
        <w:pStyle w:val="FootnoteText"/>
      </w:pPr>
      <w:r>
        <w:rPr>
          <w:rStyle w:val="FootnoteReference"/>
        </w:rPr>
        <w:footnoteRef/>
      </w:r>
      <w:r>
        <w:t xml:space="preserve"> </w:t>
      </w:r>
      <w:hyperlink r:id="rId20" w:history="1">
        <w:r w:rsidRPr="00E81168">
          <w:rPr>
            <w:rStyle w:val="Hyperlink"/>
          </w:rPr>
          <w:t>Survey finds over third of women sexually harassed on their commute | British Transport Police (btp.police.uk)</w:t>
        </w:r>
      </w:hyperlink>
    </w:p>
  </w:footnote>
  <w:footnote w:id="48">
    <w:p w14:paraId="5235C90B" w14:textId="35FAD25F" w:rsidR="007661A0" w:rsidRDefault="007661A0">
      <w:pPr>
        <w:pStyle w:val="FootnoteText"/>
      </w:pPr>
      <w:r>
        <w:rPr>
          <w:rStyle w:val="FootnoteReference"/>
        </w:rPr>
        <w:footnoteRef/>
      </w:r>
      <w:r>
        <w:t xml:space="preserve"> </w:t>
      </w:r>
      <w:r w:rsidR="005F456A" w:rsidRPr="005F456A">
        <w:t>BRITISH TRANSPORT POLICE FUND Annual Report and Accounts for the year ending 31 March 2024</w:t>
      </w:r>
    </w:p>
  </w:footnote>
  <w:footnote w:id="49">
    <w:p w14:paraId="79770CC9" w14:textId="25BA60D5" w:rsidR="00F7729B" w:rsidRDefault="00F7729B">
      <w:pPr>
        <w:pStyle w:val="FootnoteText"/>
      </w:pPr>
      <w:r>
        <w:rPr>
          <w:rStyle w:val="FootnoteReference"/>
        </w:rPr>
        <w:footnoteRef/>
      </w:r>
      <w:r>
        <w:t xml:space="preserve"> RMT Policy Briefing, </w:t>
      </w:r>
      <w:r w:rsidRPr="00F7729B">
        <w:t>Violence against women and girls on public transport</w:t>
      </w:r>
      <w:r>
        <w:t>, 2023</w:t>
      </w:r>
    </w:p>
  </w:footnote>
  <w:footnote w:id="50">
    <w:p w14:paraId="7EA0720F" w14:textId="666FC10F" w:rsidR="001132BC" w:rsidRDefault="001132BC">
      <w:pPr>
        <w:pStyle w:val="FootnoteText"/>
      </w:pPr>
      <w:r>
        <w:rPr>
          <w:rStyle w:val="FootnoteReference"/>
        </w:rPr>
        <w:footnoteRef/>
      </w:r>
      <w:r>
        <w:t xml:space="preserve"> Government Survey Harassment Survey 2020</w:t>
      </w:r>
    </w:p>
  </w:footnote>
  <w:footnote w:id="51">
    <w:p w14:paraId="3F94645B" w14:textId="35146C5B" w:rsidR="00990FBC" w:rsidRDefault="00990FBC">
      <w:pPr>
        <w:pStyle w:val="FootnoteText"/>
      </w:pPr>
      <w:r>
        <w:rPr>
          <w:rStyle w:val="FootnoteReference"/>
        </w:rPr>
        <w:footnoteRef/>
      </w:r>
      <w:r>
        <w:t xml:space="preserve"> </w:t>
      </w:r>
      <w:r w:rsidR="00256E13" w:rsidRPr="00256E13">
        <w:t>Plan International UK and Opinium (2019) https:// plan-uk.org/media-centre/42-per-cent-of-girls-whohave-been-sexually-harassed-didnt-tell anyone</w:t>
      </w:r>
    </w:p>
  </w:footnote>
  <w:footnote w:id="52">
    <w:p w14:paraId="51DE5D43" w14:textId="76997F65" w:rsidR="00E939F6" w:rsidRDefault="00E939F6">
      <w:pPr>
        <w:pStyle w:val="FootnoteText"/>
      </w:pPr>
      <w:r>
        <w:rPr>
          <w:rStyle w:val="FootnoteReference"/>
        </w:rPr>
        <w:footnoteRef/>
      </w:r>
      <w:r>
        <w:t xml:space="preserve"> </w:t>
      </w:r>
      <w:r w:rsidRPr="00E939F6">
        <w:t>Still just a bit of banter? Sexual harassment in the workplace in 2016</w:t>
      </w:r>
      <w:r>
        <w:t>, TUC</w:t>
      </w:r>
    </w:p>
  </w:footnote>
  <w:footnote w:id="53">
    <w:p w14:paraId="69A3993A" w14:textId="61C81299" w:rsidR="003D51D9" w:rsidRDefault="003D51D9">
      <w:pPr>
        <w:pStyle w:val="FootnoteText"/>
      </w:pPr>
      <w:r>
        <w:rPr>
          <w:rStyle w:val="FootnoteReference"/>
        </w:rPr>
        <w:footnoteRef/>
      </w:r>
      <w:r>
        <w:t xml:space="preserve"> </w:t>
      </w:r>
      <w:r w:rsidR="00E56BD0" w:rsidRPr="00E56BD0">
        <w:t>Sexual harassment of LGBT people in the workplace</w:t>
      </w:r>
      <w:r w:rsidR="00E56BD0">
        <w:t>,</w:t>
      </w:r>
      <w:r w:rsidR="00E56BD0" w:rsidRPr="00E56BD0">
        <w:t xml:space="preserve"> A TUC report</w:t>
      </w:r>
    </w:p>
  </w:footnote>
  <w:footnote w:id="54">
    <w:p w14:paraId="6518DAB6" w14:textId="5638E5DD" w:rsidR="0027530F" w:rsidRDefault="0027530F">
      <w:pPr>
        <w:pStyle w:val="FootnoteText"/>
      </w:pPr>
      <w:r>
        <w:rPr>
          <w:rStyle w:val="FootnoteReference"/>
        </w:rPr>
        <w:footnoteRef/>
      </w:r>
      <w:r>
        <w:t xml:space="preserve"> </w:t>
      </w:r>
      <w:hyperlink r:id="rId21" w:history="1">
        <w:r w:rsidR="005425B0" w:rsidRPr="005425B0">
          <w:rPr>
            <w:rStyle w:val="Hyperlink"/>
          </w:rPr>
          <w:t>New TUC poll: 2 in 3 young women have experienced sexual harassment, bullying or verbal abuse at work | TUC</w:t>
        </w:r>
      </w:hyperlink>
    </w:p>
  </w:footnote>
  <w:footnote w:id="55">
    <w:p w14:paraId="439AE6D5" w14:textId="04692112" w:rsidR="00E462DA" w:rsidRDefault="00E462DA">
      <w:pPr>
        <w:pStyle w:val="FootnoteText"/>
      </w:pPr>
      <w:r>
        <w:rPr>
          <w:rStyle w:val="FootnoteReference"/>
        </w:rPr>
        <w:footnoteRef/>
      </w:r>
      <w:r>
        <w:t xml:space="preserve"> </w:t>
      </w:r>
      <w:r w:rsidRPr="00E462DA">
        <w:t>Sexual harassment of LGBT people in the workplace A TUC report</w:t>
      </w:r>
    </w:p>
  </w:footnote>
  <w:footnote w:id="56">
    <w:p w14:paraId="0AB4F84A" w14:textId="1DF4480B" w:rsidR="004C0FB7" w:rsidRDefault="004C0FB7">
      <w:pPr>
        <w:pStyle w:val="FootnoteText"/>
      </w:pPr>
      <w:r>
        <w:rPr>
          <w:rStyle w:val="FootnoteReference"/>
        </w:rPr>
        <w:footnoteRef/>
      </w:r>
      <w:r>
        <w:t xml:space="preserve"> </w:t>
      </w:r>
      <w:r w:rsidRPr="004C0FB7">
        <w:t>WHAT WORKS FOR ENDING PUBLIC SEXUAL HARASSMENT</w:t>
      </w:r>
      <w:r>
        <w:t>, Plan International UK, 2021</w:t>
      </w:r>
    </w:p>
  </w:footnote>
  <w:footnote w:id="57">
    <w:p w14:paraId="73B68E10" w14:textId="58716926" w:rsidR="00617AA8" w:rsidRDefault="00617AA8">
      <w:pPr>
        <w:pStyle w:val="FootnoteText"/>
      </w:pPr>
      <w:r>
        <w:rPr>
          <w:rStyle w:val="FootnoteReference"/>
        </w:rPr>
        <w:footnoteRef/>
      </w:r>
      <w:r>
        <w:t xml:space="preserve"> Government, Sexual Harassment Survey 2020</w:t>
      </w:r>
    </w:p>
  </w:footnote>
  <w:footnote w:id="58">
    <w:p w14:paraId="73ED069A" w14:textId="542680EC" w:rsidR="00FC1633" w:rsidRDefault="00FC1633">
      <w:pPr>
        <w:pStyle w:val="FootnoteText"/>
      </w:pPr>
      <w:r>
        <w:rPr>
          <w:rStyle w:val="FootnoteReference"/>
        </w:rPr>
        <w:footnoteRef/>
      </w:r>
      <w:r>
        <w:t xml:space="preserve"> CSEW Harassment Estimates, 2023</w:t>
      </w:r>
    </w:p>
  </w:footnote>
  <w:footnote w:id="59">
    <w:p w14:paraId="6AB1BC60" w14:textId="6FF418E2" w:rsidR="00A0758F" w:rsidRDefault="00A0758F">
      <w:pPr>
        <w:pStyle w:val="FootnoteText"/>
      </w:pPr>
      <w:r>
        <w:rPr>
          <w:rStyle w:val="FootnoteReference"/>
        </w:rPr>
        <w:footnoteRef/>
      </w:r>
      <w:r>
        <w:t xml:space="preserve"> </w:t>
      </w:r>
      <w:hyperlink r:id="rId22" w:tgtFrame="_self" w:history="1">
        <w:r w:rsidR="00012A00" w:rsidRPr="00012A00">
          <w:rPr>
            <w:rStyle w:val="Hyperlink"/>
          </w:rPr>
          <w:t>Police recorded crime open data Police Force Area tables, year ending March 2013 onwards</w:t>
        </w:r>
      </w:hyperlink>
      <w:r w:rsidR="00012A00">
        <w:t>, Home Office</w:t>
      </w:r>
    </w:p>
  </w:footnote>
  <w:footnote w:id="60">
    <w:p w14:paraId="4998DE5E" w14:textId="48E20E6E" w:rsidR="00544EEE" w:rsidRDefault="00544EEE">
      <w:pPr>
        <w:pStyle w:val="FootnoteText"/>
      </w:pPr>
      <w:r>
        <w:rPr>
          <w:rStyle w:val="FootnoteReference"/>
        </w:rPr>
        <w:footnoteRef/>
      </w:r>
      <w:r>
        <w:t xml:space="preserve"> </w:t>
      </w:r>
      <w:hyperlink r:id="rId23" w:history="1">
        <w:r w:rsidR="0085208C" w:rsidRPr="0085208C">
          <w:rPr>
            <w:rStyle w:val="Hyperlink"/>
          </w:rPr>
          <w:t>UPSKIRTING: Public urged to report offenders as prosecutions double | The Crown Prosecution Service (cps.gov.uk)</w:t>
        </w:r>
      </w:hyperlink>
    </w:p>
  </w:footnote>
  <w:footnote w:id="61">
    <w:p w14:paraId="1A09AC6B" w14:textId="418DD41D" w:rsidR="00922186" w:rsidRDefault="00922186">
      <w:pPr>
        <w:pStyle w:val="FootnoteText"/>
      </w:pPr>
      <w:r>
        <w:rPr>
          <w:rStyle w:val="FootnoteReference"/>
        </w:rPr>
        <w:footnoteRef/>
      </w:r>
      <w:r>
        <w:t xml:space="preserve"> </w:t>
      </w:r>
      <w:hyperlink r:id="rId24" w:history="1">
        <w:r w:rsidRPr="00922186">
          <w:rPr>
            <w:rStyle w:val="Hyperlink"/>
          </w:rPr>
          <w:t>Prosecution and conviction data s.67A Sexual Offences Act 2003 (upskirting) 2019 - 2023 | The Crown Prosecution Service (cps.gov.uk)</w:t>
        </w:r>
      </w:hyperlink>
    </w:p>
  </w:footnote>
  <w:footnote w:id="62">
    <w:p w14:paraId="795C4969" w14:textId="0C2A787D" w:rsidR="00BA17DD" w:rsidRDefault="00BA17DD">
      <w:pPr>
        <w:pStyle w:val="FootnoteText"/>
      </w:pPr>
      <w:r>
        <w:rPr>
          <w:rStyle w:val="FootnoteReference"/>
        </w:rPr>
        <w:footnoteRef/>
      </w:r>
      <w:r>
        <w:t xml:space="preserve"> </w:t>
      </w:r>
      <w:hyperlink r:id="rId25" w:history="1">
        <w:r w:rsidRPr="00BA17DD">
          <w:rPr>
            <w:rStyle w:val="Hyperlink"/>
          </w:rPr>
          <w:t>‘Revenge porn’ victims are often stalked and harassed by ex-partners | The Crown Prosecution Service (cps.gov.uk)</w:t>
        </w:r>
      </w:hyperlink>
    </w:p>
  </w:footnote>
  <w:footnote w:id="63">
    <w:p w14:paraId="2606C159" w14:textId="6C5DD660" w:rsidR="00494E2F" w:rsidRDefault="00494E2F">
      <w:pPr>
        <w:pStyle w:val="FootnoteText"/>
      </w:pPr>
      <w:r>
        <w:rPr>
          <w:rStyle w:val="FootnoteReference"/>
        </w:rPr>
        <w:footnoteRef/>
      </w:r>
      <w:r>
        <w:t xml:space="preserve"> </w:t>
      </w:r>
      <w:hyperlink r:id="rId26" w:history="1">
        <w:r w:rsidR="007C5B70" w:rsidRPr="007C5B70">
          <w:rPr>
            <w:rStyle w:val="Hyperlink"/>
          </w:rPr>
          <w:t>revenge-porn-helpline-report-2023.pdf (revengepornhelpline.org.uk)</w:t>
        </w:r>
      </w:hyperlink>
    </w:p>
  </w:footnote>
  <w:footnote w:id="64">
    <w:p w14:paraId="4C3B6EDA" w14:textId="57F8CE0F" w:rsidR="00BA17DD" w:rsidRDefault="00BA17DD">
      <w:pPr>
        <w:pStyle w:val="FootnoteText"/>
      </w:pPr>
      <w:r>
        <w:rPr>
          <w:rStyle w:val="FootnoteReference"/>
        </w:rPr>
        <w:footnoteRef/>
      </w:r>
      <w:r>
        <w:t xml:space="preserve"> </w:t>
      </w:r>
      <w:r>
        <w:rPr>
          <w:rStyle w:val="FootnoteReference"/>
        </w:rPr>
        <w:footnoteRef/>
      </w:r>
      <w:r>
        <w:t xml:space="preserve"> </w:t>
      </w:r>
      <w:hyperlink r:id="rId27" w:tgtFrame="_self" w:history="1">
        <w:r w:rsidRPr="00012A00">
          <w:rPr>
            <w:rStyle w:val="Hyperlink"/>
          </w:rPr>
          <w:t>Police recorded crime open data Police Force Area tables, year ending March 2013 onwards</w:t>
        </w:r>
      </w:hyperlink>
      <w:r>
        <w:t>, Home Office</w:t>
      </w:r>
    </w:p>
  </w:footnote>
  <w:footnote w:id="65">
    <w:p w14:paraId="44373898" w14:textId="435E86EC" w:rsidR="009D33F7" w:rsidRDefault="009D33F7">
      <w:pPr>
        <w:pStyle w:val="FootnoteText"/>
      </w:pPr>
      <w:r>
        <w:rPr>
          <w:rStyle w:val="FootnoteReference"/>
        </w:rPr>
        <w:footnoteRef/>
      </w:r>
      <w:r>
        <w:t xml:space="preserve"> </w:t>
      </w:r>
      <w:hyperlink r:id="rId28" w:history="1">
        <w:r w:rsidRPr="009D33F7">
          <w:rPr>
            <w:rStyle w:val="Hyperlink"/>
          </w:rPr>
          <w:t>Revenge Porn Crimes 2023 | South Yorkshire Police</w:t>
        </w:r>
      </w:hyperlink>
    </w:p>
  </w:footnote>
  <w:footnote w:id="66">
    <w:p w14:paraId="7ACC39C2" w14:textId="77777777" w:rsidR="0034190A" w:rsidRDefault="0034190A" w:rsidP="0034190A">
      <w:pPr>
        <w:pStyle w:val="FootnoteText"/>
      </w:pPr>
      <w:r>
        <w:rPr>
          <w:rStyle w:val="FootnoteReference"/>
        </w:rPr>
        <w:footnoteRef/>
      </w:r>
      <w:r>
        <w:t xml:space="preserve"> </w:t>
      </w:r>
      <w:hyperlink r:id="rId29" w:anchor="laws-against-spiking" w:history="1">
        <w:r w:rsidRPr="006B1434">
          <w:rPr>
            <w:rStyle w:val="Hyperlink"/>
          </w:rPr>
          <w:t>Spiking: factsheet - GOV.UK (www.gov.uk)</w:t>
        </w:r>
      </w:hyperlink>
    </w:p>
  </w:footnote>
  <w:footnote w:id="67">
    <w:p w14:paraId="052AF4BF" w14:textId="667C4C97" w:rsidR="001656BF" w:rsidRDefault="001656BF">
      <w:pPr>
        <w:pStyle w:val="FootnoteText"/>
      </w:pPr>
      <w:r>
        <w:rPr>
          <w:rStyle w:val="FootnoteReference"/>
        </w:rPr>
        <w:footnoteRef/>
      </w:r>
      <w:r>
        <w:t xml:space="preserve"> </w:t>
      </w:r>
      <w:hyperlink r:id="rId30" w:anchor="facts-and-statistics-on-spiking" w:history="1">
        <w:r>
          <w:rPr>
            <w:rStyle w:val="Hyperlink"/>
          </w:rPr>
          <w:t>Spiking: factsheet - GOV.UK (www.gov.uk)</w:t>
        </w:r>
      </w:hyperlink>
    </w:p>
  </w:footnote>
  <w:footnote w:id="68">
    <w:p w14:paraId="05B788D5" w14:textId="0F950302" w:rsidR="007B0FD5" w:rsidRDefault="007B0FD5">
      <w:pPr>
        <w:pStyle w:val="FootnoteText"/>
      </w:pPr>
      <w:r>
        <w:rPr>
          <w:rStyle w:val="FootnoteReference"/>
        </w:rPr>
        <w:footnoteRef/>
      </w:r>
      <w:r>
        <w:t xml:space="preserve"> </w:t>
      </w:r>
    </w:p>
  </w:footnote>
  <w:footnote w:id="69">
    <w:p w14:paraId="37BCF5CC" w14:textId="0751DBAE" w:rsidR="00B81CC3" w:rsidRDefault="00B81CC3">
      <w:pPr>
        <w:pStyle w:val="FootnoteText"/>
      </w:pPr>
      <w:r>
        <w:rPr>
          <w:rStyle w:val="FootnoteReference"/>
        </w:rPr>
        <w:footnoteRef/>
      </w:r>
      <w:r>
        <w:t xml:space="preserve"> </w:t>
      </w:r>
      <w:hyperlink r:id="rId31" w:history="1">
        <w:r w:rsidR="00075EAD">
          <w:rPr>
            <w:rStyle w:val="Hyperlink"/>
          </w:rPr>
          <w:t>Reported incidents of drink spiking - Ref 23.009780 - SYP (southyorks.police.uk)</w:t>
        </w:r>
      </w:hyperlink>
      <w:r w:rsidR="00075EAD">
        <w:t xml:space="preserve"> </w:t>
      </w:r>
    </w:p>
  </w:footnote>
  <w:footnote w:id="70">
    <w:p w14:paraId="7D993C3E" w14:textId="67ADA5BD" w:rsidR="002B4F6F" w:rsidRDefault="002B4F6F">
      <w:pPr>
        <w:pStyle w:val="FootnoteText"/>
      </w:pPr>
      <w:r>
        <w:rPr>
          <w:rStyle w:val="FootnoteReference"/>
        </w:rPr>
        <w:footnoteRef/>
      </w:r>
      <w:r>
        <w:t xml:space="preserve"> </w:t>
      </w:r>
      <w:hyperlink r:id="rId32" w:history="1">
        <w:r w:rsidR="00075EAD">
          <w:rPr>
            <w:rStyle w:val="Hyperlink"/>
          </w:rPr>
          <w:t>Reported spiking incidents - drink and needle Ref 23.009623 - SYP (southyorks.police.uk)</w:t>
        </w:r>
      </w:hyperlink>
    </w:p>
  </w:footnote>
  <w:footnote w:id="71">
    <w:p w14:paraId="3398571D" w14:textId="74DE192E" w:rsidR="00D25B87" w:rsidRDefault="00D25B87" w:rsidP="0086797D">
      <w:pPr>
        <w:pStyle w:val="FootnoteText"/>
      </w:pPr>
      <w:r>
        <w:rPr>
          <w:rStyle w:val="FootnoteReference"/>
        </w:rPr>
        <w:footnoteRef/>
      </w:r>
      <w:r>
        <w:t xml:space="preserve"> </w:t>
      </w:r>
      <w:hyperlink r:id="rId33" w:history="1">
        <w:r w:rsidR="00914C06" w:rsidRPr="00914C06">
          <w:rPr>
            <w:rStyle w:val="Hyperlink"/>
          </w:rPr>
          <w:t xml:space="preserve">Burrell, 2023, </w:t>
        </w:r>
        <w:r w:rsidR="0086797D" w:rsidRPr="00914C06">
          <w:rPr>
            <w:rStyle w:val="Hyperlink"/>
          </w:rPr>
          <w:t xml:space="preserve">Spiking </w:t>
        </w:r>
        <w:proofErr w:type="spellStart"/>
        <w:r w:rsidR="0086797D" w:rsidRPr="00914C06">
          <w:rPr>
            <w:rStyle w:val="Hyperlink"/>
          </w:rPr>
          <w:t>prevelance</w:t>
        </w:r>
        <w:proofErr w:type="spellEnd"/>
        <w:r w:rsidR="0086797D" w:rsidRPr="00914C06">
          <w:rPr>
            <w:rStyle w:val="Hyperlink"/>
          </w:rPr>
          <w:t xml:space="preserve"> and motivation: A review of the literature</w:t>
        </w:r>
      </w:hyperlink>
    </w:p>
  </w:footnote>
  <w:footnote w:id="72">
    <w:p w14:paraId="38765C57" w14:textId="5564424A" w:rsidR="00CC12CB" w:rsidRDefault="00CC12CB">
      <w:pPr>
        <w:pStyle w:val="FootnoteText"/>
      </w:pPr>
      <w:r>
        <w:rPr>
          <w:rStyle w:val="FootnoteReference"/>
        </w:rPr>
        <w:footnoteRef/>
      </w:r>
      <w:r>
        <w:t xml:space="preserve"> </w:t>
      </w:r>
      <w:r w:rsidR="00B86E75" w:rsidRPr="00B86E75">
        <w:t xml:space="preserve">Daniels, J, Dear, J, Birse, F, Carlton, E, Burgess, K &amp; Roberts, T 2023, 'Drink and Injection Spiking: How to Approach an Increase in Presentations', Emergency medicine </w:t>
      </w:r>
      <w:proofErr w:type="gramStart"/>
      <w:r w:rsidR="00B86E75" w:rsidRPr="00B86E75">
        <w:t>journal :</w:t>
      </w:r>
      <w:proofErr w:type="gramEnd"/>
      <w:r w:rsidR="00B86E75" w:rsidRPr="00B86E75">
        <w:t xml:space="preserve"> EMJ, vol. 40, no. 4, pp. 308-312. https://doi.org/10.1136/emermed-2022-212612</w:t>
      </w:r>
    </w:p>
  </w:footnote>
  <w:footnote w:id="73">
    <w:p w14:paraId="6839418B" w14:textId="77777777" w:rsidR="004A1558" w:rsidRDefault="004A1558" w:rsidP="004A1558">
      <w:pPr>
        <w:pStyle w:val="FootnoteText"/>
      </w:pPr>
      <w:r>
        <w:rPr>
          <w:rStyle w:val="FootnoteReference"/>
        </w:rPr>
        <w:footnoteRef/>
      </w:r>
      <w:r>
        <w:t xml:space="preserve"> </w:t>
      </w:r>
      <w:hyperlink r:id="rId34" w:history="1">
        <w:r w:rsidRPr="0000011F">
          <w:rPr>
            <w:rStyle w:val="Hyperlink"/>
          </w:rPr>
          <w:t>Spicer, 2018, Joint Serious Case Review Concerning Sexual Exploitation of Children and Adults with Needs for Care and Support in Newcastle-upon-Tyne</w:t>
        </w:r>
      </w:hyperlink>
    </w:p>
  </w:footnote>
  <w:footnote w:id="74">
    <w:p w14:paraId="08AD5592" w14:textId="0FFA1D82" w:rsidR="00162C80" w:rsidRDefault="00162C80" w:rsidP="00B83CD4">
      <w:pPr>
        <w:pStyle w:val="FootnoteText"/>
      </w:pPr>
      <w:hyperlink r:id="rId35" w:history="1">
        <w:r w:rsidRPr="00B83CD4">
          <w:rPr>
            <w:rStyle w:val="Hyperlink"/>
            <w:vertAlign w:val="superscript"/>
          </w:rPr>
          <w:footnoteRef/>
        </w:r>
        <w:r w:rsidRPr="00B83CD4">
          <w:rPr>
            <w:rStyle w:val="Hyperlink"/>
          </w:rPr>
          <w:t xml:space="preserve"> </w:t>
        </w:r>
        <w:r w:rsidR="00A15C8A" w:rsidRPr="00B83CD4">
          <w:rPr>
            <w:rStyle w:val="Hyperlink"/>
          </w:rPr>
          <w:t>ASE Partnership</w:t>
        </w:r>
        <w:r w:rsidR="00B83CD4" w:rsidRPr="00B83CD4">
          <w:rPr>
            <w:rStyle w:val="Hyperlink"/>
          </w:rPr>
          <w:t>,</w:t>
        </w:r>
        <w:r w:rsidR="00A15C8A" w:rsidRPr="00B83CD4">
          <w:rPr>
            <w:rStyle w:val="Hyperlink"/>
          </w:rPr>
          <w:t xml:space="preserve"> 2024, </w:t>
        </w:r>
        <w:r w:rsidR="00B83CD4" w:rsidRPr="00B83CD4">
          <w:rPr>
            <w:rStyle w:val="Hyperlink"/>
          </w:rPr>
          <w:t>TACKLINGADULTSEXUALEXPLOITATION, Perception, Prevalence and Protection.</w:t>
        </w:r>
      </w:hyperlink>
    </w:p>
  </w:footnote>
  <w:footnote w:id="75">
    <w:p w14:paraId="56817BBA" w14:textId="76225B16" w:rsidR="001B0480" w:rsidRDefault="001B0480">
      <w:pPr>
        <w:pStyle w:val="FootnoteText"/>
      </w:pPr>
      <w:r>
        <w:rPr>
          <w:rStyle w:val="FootnoteReference"/>
        </w:rPr>
        <w:footnoteRef/>
      </w:r>
      <w:r>
        <w:t xml:space="preserve"> </w:t>
      </w:r>
      <w:hyperlink r:id="rId36" w:history="1">
        <w:r>
          <w:rPr>
            <w:rStyle w:val="Hyperlink"/>
          </w:rPr>
          <w:t>charts.censuswide.com/CW8999RS/CW8999RS_VIbox.html</w:t>
        </w:r>
      </w:hyperlink>
    </w:p>
  </w:footnote>
  <w:footnote w:id="76">
    <w:p w14:paraId="358116BF" w14:textId="1D9D3079" w:rsidR="00C73829" w:rsidRDefault="00C73829">
      <w:pPr>
        <w:pStyle w:val="FootnoteText"/>
      </w:pPr>
      <w:r>
        <w:rPr>
          <w:rStyle w:val="FootnoteReference"/>
        </w:rPr>
        <w:footnoteRef/>
      </w:r>
      <w:r>
        <w:t xml:space="preserve"> </w:t>
      </w:r>
      <w:hyperlink r:id="rId37" w:history="1">
        <w:r>
          <w:rPr>
            <w:rStyle w:val="Hyperlink"/>
          </w:rPr>
          <w:t>Mesarch-Infographic-Final.pdf (coventry.ac.uk)</w:t>
        </w:r>
      </w:hyperlink>
    </w:p>
  </w:footnote>
  <w:footnote w:id="77">
    <w:p w14:paraId="6419E75C" w14:textId="29335705" w:rsidR="00E1670A" w:rsidRDefault="00E1670A">
      <w:pPr>
        <w:pStyle w:val="FootnoteText"/>
      </w:pPr>
      <w:r>
        <w:rPr>
          <w:rStyle w:val="FootnoteReference"/>
        </w:rPr>
        <w:footnoteRef/>
      </w:r>
      <w:r>
        <w:t xml:space="preserve"> </w:t>
      </w:r>
      <w:hyperlink r:id="rId38" w:history="1">
        <w:r w:rsidRPr="00DC189D">
          <w:rPr>
            <w:rStyle w:val="Hyperlink"/>
          </w:rPr>
          <w:t>https://www.google.com/url?sa=t&amp;rct=j&amp;q=&amp;esrc=s&amp;source=web&amp;cd=&amp;ved=2ahUKEwjozKapwOmDAxUbXUEAHWInAecQFnoECB0QAQ&amp;url=https%3A%2F%2Fwww.ons.gov.uk%2Fpeoplepopulationandcommunity%2Fcrimeandjustice%2Fbulletins%2Fsexualoffencesinenglandandwalesoverview%2Fmarch2022&amp;usg=AOvVaw257RDXXDu-HrLi4lhmU9vI&amp;opi=89978449</w:t>
        </w:r>
      </w:hyperlink>
    </w:p>
  </w:footnote>
  <w:footnote w:id="78">
    <w:p w14:paraId="48FDA574" w14:textId="166B311A" w:rsidR="008C097D" w:rsidRDefault="008C097D">
      <w:pPr>
        <w:pStyle w:val="FootnoteText"/>
      </w:pPr>
      <w:r>
        <w:rPr>
          <w:rStyle w:val="FootnoteReference"/>
        </w:rPr>
        <w:footnoteRef/>
      </w:r>
      <w:r>
        <w:t xml:space="preserve"> </w:t>
      </w:r>
      <w:hyperlink r:id="rId39" w:history="1">
        <w:r>
          <w:rPr>
            <w:rStyle w:val="Hyperlink"/>
          </w:rPr>
          <w:t>Insights sexual violence pilot.pdf (safelives.org.uk)</w:t>
        </w:r>
      </w:hyperlink>
    </w:p>
  </w:footnote>
  <w:footnote w:id="79">
    <w:p w14:paraId="3A268B35" w14:textId="6110FCE2" w:rsidR="00334962" w:rsidRDefault="00334962">
      <w:pPr>
        <w:pStyle w:val="FootnoteText"/>
      </w:pPr>
      <w:r>
        <w:rPr>
          <w:rStyle w:val="FootnoteReference"/>
        </w:rPr>
        <w:footnoteRef/>
      </w:r>
      <w:r>
        <w:t xml:space="preserve"> </w:t>
      </w:r>
      <w:hyperlink r:id="rId40" w:history="1">
        <w:r w:rsidRPr="00334962">
          <w:rPr>
            <w:rStyle w:val="Hyperlink"/>
          </w:rPr>
          <w:t>Progress to introduce a national operating model for rape and other serious sexual offences investigations - His Majesty’s Inspectorate of Constabulary and Fire &amp; Rescue Services (justiceinspectorates.gov.uk)</w:t>
        </w:r>
      </w:hyperlink>
    </w:p>
  </w:footnote>
  <w:footnote w:id="80">
    <w:p w14:paraId="60AEF6A8" w14:textId="202F20D5" w:rsidR="00F60268" w:rsidRDefault="00F60268">
      <w:pPr>
        <w:pStyle w:val="FootnoteText"/>
      </w:pPr>
      <w:r>
        <w:rPr>
          <w:rStyle w:val="FootnoteReference"/>
        </w:rPr>
        <w:footnoteRef/>
      </w:r>
      <w:r>
        <w:t xml:space="preserve"> </w:t>
      </w:r>
      <w:hyperlink r:id="rId41" w:history="1">
        <w:r w:rsidR="00BE4E58" w:rsidRPr="00BE4E58">
          <w:rPr>
            <w:rStyle w:val="Hyperlink"/>
          </w:rPr>
          <w:t>Rape Crisis centres at risk of closure without a commitment to continued funding after March 2025 | Rape Crisis England &amp; Wales</w:t>
        </w:r>
      </w:hyperlink>
    </w:p>
  </w:footnote>
  <w:footnote w:id="81">
    <w:p w14:paraId="585984DA" w14:textId="7BAB3326" w:rsidR="00F51A85" w:rsidRDefault="00F51A85">
      <w:pPr>
        <w:pStyle w:val="FootnoteText"/>
      </w:pPr>
      <w:r>
        <w:rPr>
          <w:rStyle w:val="FootnoteReference"/>
        </w:rPr>
        <w:footnoteRef/>
      </w:r>
      <w:r>
        <w:t xml:space="preserve"> </w:t>
      </w:r>
      <w:hyperlink r:id="rId42" w:history="1">
        <w:r w:rsidR="00825AC3" w:rsidRPr="00825AC3">
          <w:rPr>
            <w:rStyle w:val="Hyperlink"/>
          </w:rPr>
          <w:t>Saffron Annual Report 2023</w:t>
        </w:r>
      </w:hyperlink>
    </w:p>
  </w:footnote>
  <w:footnote w:id="82">
    <w:p w14:paraId="58554AEB" w14:textId="26CC7F78" w:rsidR="001C6C5F" w:rsidRDefault="001C6C5F">
      <w:pPr>
        <w:pStyle w:val="FootnoteText"/>
      </w:pPr>
      <w:r>
        <w:rPr>
          <w:rStyle w:val="FootnoteReference"/>
        </w:rPr>
        <w:footnoteRef/>
      </w:r>
      <w:r>
        <w:t xml:space="preserve"> </w:t>
      </w:r>
      <w:hyperlink r:id="rId43" w:history="1">
        <w:r w:rsidR="00740665" w:rsidRPr="00740665">
          <w:rPr>
            <w:rStyle w:val="Hyperlink"/>
          </w:rPr>
          <w:t xml:space="preserve">Saffron </w:t>
        </w:r>
        <w:r w:rsidR="00BD0784">
          <w:rPr>
            <w:rStyle w:val="Hyperlink"/>
          </w:rPr>
          <w:t>Impact</w:t>
        </w:r>
        <w:r w:rsidR="00740665" w:rsidRPr="00740665">
          <w:rPr>
            <w:rStyle w:val="Hyperlink"/>
          </w:rPr>
          <w:t xml:space="preserve"> Report, 2023-2024</w:t>
        </w:r>
      </w:hyperlink>
    </w:p>
  </w:footnote>
  <w:footnote w:id="83">
    <w:p w14:paraId="0311B466" w14:textId="5CD1427B" w:rsidR="0CDE7386" w:rsidRDefault="0CDE7386" w:rsidP="0CDE7386">
      <w:pPr>
        <w:pStyle w:val="FootnoteText"/>
      </w:pPr>
      <w:r w:rsidRPr="0CDE7386">
        <w:rPr>
          <w:rStyle w:val="FootnoteReference"/>
        </w:rPr>
        <w:footnoteRef/>
      </w:r>
      <w:r>
        <w:t xml:space="preserve"> </w:t>
      </w:r>
    </w:p>
  </w:footnote>
  <w:footnote w:id="84">
    <w:p w14:paraId="338C36DE" w14:textId="67D6C41F" w:rsidR="004C32DE" w:rsidRDefault="004C32DE">
      <w:pPr>
        <w:pStyle w:val="FootnoteText"/>
      </w:pPr>
      <w:r>
        <w:rPr>
          <w:rStyle w:val="FootnoteReference"/>
        </w:rPr>
        <w:footnoteRef/>
      </w:r>
      <w:r>
        <w:t xml:space="preserve"> </w:t>
      </w:r>
      <w:hyperlink r:id="rId44" w:history="1">
        <w:r w:rsidR="00260CC8" w:rsidRPr="00260CC8">
          <w:rPr>
            <w:rStyle w:val="Hyperlink"/>
          </w:rPr>
          <w:t>The Snowdrop Project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4BA1" w14:textId="7BB586A8" w:rsidR="000A4A52" w:rsidRDefault="000A4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3729" w14:textId="7DFBE5F2" w:rsidR="000A4A52" w:rsidRDefault="000A4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0FFC" w14:textId="3679DA39" w:rsidR="000A4A52" w:rsidRDefault="000A4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732"/>
    <w:multiLevelType w:val="hybridMultilevel"/>
    <w:tmpl w:val="D54C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29D"/>
    <w:multiLevelType w:val="hybridMultilevel"/>
    <w:tmpl w:val="E5AC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702A5"/>
    <w:multiLevelType w:val="hybridMultilevel"/>
    <w:tmpl w:val="266A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71229"/>
    <w:multiLevelType w:val="hybridMultilevel"/>
    <w:tmpl w:val="D0D63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5D60"/>
    <w:multiLevelType w:val="hybridMultilevel"/>
    <w:tmpl w:val="F1A4A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B02163"/>
    <w:multiLevelType w:val="hybridMultilevel"/>
    <w:tmpl w:val="CDC4823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96411EC"/>
    <w:multiLevelType w:val="hybridMultilevel"/>
    <w:tmpl w:val="8996A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B7C7A"/>
    <w:multiLevelType w:val="hybridMultilevel"/>
    <w:tmpl w:val="8D6C0D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F08CAB22">
      <w:start w:val="10"/>
      <w:numFmt w:val="bullet"/>
      <w:lvlText w:val="-"/>
      <w:lvlJc w:val="left"/>
      <w:pPr>
        <w:ind w:left="3240" w:hanging="360"/>
      </w:pPr>
      <w:rPr>
        <w:rFonts w:ascii="Calibri" w:eastAsiaTheme="minorHAnsi" w:hAnsi="Calibri" w:cs="Calibri"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6212DA"/>
    <w:multiLevelType w:val="hybridMultilevel"/>
    <w:tmpl w:val="AE72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43ECB"/>
    <w:multiLevelType w:val="hybridMultilevel"/>
    <w:tmpl w:val="4C34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D5169"/>
    <w:multiLevelType w:val="hybridMultilevel"/>
    <w:tmpl w:val="D946D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4323C9"/>
    <w:multiLevelType w:val="hybridMultilevel"/>
    <w:tmpl w:val="1124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0E707"/>
    <w:multiLevelType w:val="hybridMultilevel"/>
    <w:tmpl w:val="2884D7F8"/>
    <w:lvl w:ilvl="0" w:tplc="EC52C2AE">
      <w:start w:val="1"/>
      <w:numFmt w:val="decimal"/>
      <w:lvlText w:val="%1."/>
      <w:lvlJc w:val="left"/>
      <w:pPr>
        <w:ind w:left="720" w:hanging="360"/>
      </w:pPr>
    </w:lvl>
    <w:lvl w:ilvl="1" w:tplc="39B8BF54">
      <w:start w:val="1"/>
      <w:numFmt w:val="lowerLetter"/>
      <w:lvlText w:val="%2."/>
      <w:lvlJc w:val="left"/>
      <w:pPr>
        <w:ind w:left="1440" w:hanging="360"/>
      </w:pPr>
    </w:lvl>
    <w:lvl w:ilvl="2" w:tplc="79089620">
      <w:start w:val="1"/>
      <w:numFmt w:val="lowerRoman"/>
      <w:lvlText w:val="%3."/>
      <w:lvlJc w:val="right"/>
      <w:pPr>
        <w:ind w:left="2160" w:hanging="180"/>
      </w:pPr>
    </w:lvl>
    <w:lvl w:ilvl="3" w:tplc="C67C31B8">
      <w:start w:val="1"/>
      <w:numFmt w:val="decimal"/>
      <w:lvlText w:val="%4."/>
      <w:lvlJc w:val="left"/>
      <w:pPr>
        <w:ind w:left="2880" w:hanging="360"/>
      </w:pPr>
    </w:lvl>
    <w:lvl w:ilvl="4" w:tplc="E7543400">
      <w:start w:val="1"/>
      <w:numFmt w:val="lowerLetter"/>
      <w:lvlText w:val="%5."/>
      <w:lvlJc w:val="left"/>
      <w:pPr>
        <w:ind w:left="3600" w:hanging="360"/>
      </w:pPr>
    </w:lvl>
    <w:lvl w:ilvl="5" w:tplc="369C49E0">
      <w:start w:val="1"/>
      <w:numFmt w:val="lowerRoman"/>
      <w:lvlText w:val="%6."/>
      <w:lvlJc w:val="right"/>
      <w:pPr>
        <w:ind w:left="4320" w:hanging="180"/>
      </w:pPr>
    </w:lvl>
    <w:lvl w:ilvl="6" w:tplc="97C00746">
      <w:start w:val="1"/>
      <w:numFmt w:val="decimal"/>
      <w:lvlText w:val="%7."/>
      <w:lvlJc w:val="left"/>
      <w:pPr>
        <w:ind w:left="5040" w:hanging="360"/>
      </w:pPr>
    </w:lvl>
    <w:lvl w:ilvl="7" w:tplc="5636C430">
      <w:start w:val="1"/>
      <w:numFmt w:val="lowerLetter"/>
      <w:lvlText w:val="%8."/>
      <w:lvlJc w:val="left"/>
      <w:pPr>
        <w:ind w:left="5760" w:hanging="360"/>
      </w:pPr>
    </w:lvl>
    <w:lvl w:ilvl="8" w:tplc="032891A6">
      <w:start w:val="1"/>
      <w:numFmt w:val="lowerRoman"/>
      <w:lvlText w:val="%9."/>
      <w:lvlJc w:val="right"/>
      <w:pPr>
        <w:ind w:left="6480" w:hanging="180"/>
      </w:pPr>
    </w:lvl>
  </w:abstractNum>
  <w:abstractNum w:abstractNumId="13" w15:restartNumberingAfterBreak="0">
    <w:nsid w:val="36C43B45"/>
    <w:multiLevelType w:val="hybridMultilevel"/>
    <w:tmpl w:val="0F98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92A74"/>
    <w:multiLevelType w:val="hybridMultilevel"/>
    <w:tmpl w:val="A666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1314C"/>
    <w:multiLevelType w:val="multilevel"/>
    <w:tmpl w:val="BC66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000A2"/>
    <w:multiLevelType w:val="hybridMultilevel"/>
    <w:tmpl w:val="4D5E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A09AF"/>
    <w:multiLevelType w:val="multilevel"/>
    <w:tmpl w:val="3CD4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D643A"/>
    <w:multiLevelType w:val="hybridMultilevel"/>
    <w:tmpl w:val="9678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D1885"/>
    <w:multiLevelType w:val="hybridMultilevel"/>
    <w:tmpl w:val="A51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4408C"/>
    <w:multiLevelType w:val="hybridMultilevel"/>
    <w:tmpl w:val="EB9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B0E9C"/>
    <w:multiLevelType w:val="hybridMultilevel"/>
    <w:tmpl w:val="BD8E6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E32CE"/>
    <w:multiLevelType w:val="hybridMultilevel"/>
    <w:tmpl w:val="9A08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96820"/>
    <w:multiLevelType w:val="hybridMultilevel"/>
    <w:tmpl w:val="9BD2426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4" w15:restartNumberingAfterBreak="0">
    <w:nsid w:val="566D4D65"/>
    <w:multiLevelType w:val="hybridMultilevel"/>
    <w:tmpl w:val="BB46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45750"/>
    <w:multiLevelType w:val="hybridMultilevel"/>
    <w:tmpl w:val="D976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2532CF"/>
    <w:multiLevelType w:val="hybridMultilevel"/>
    <w:tmpl w:val="B536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E44F79"/>
    <w:multiLevelType w:val="hybridMultilevel"/>
    <w:tmpl w:val="376C8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1803C3"/>
    <w:multiLevelType w:val="multilevel"/>
    <w:tmpl w:val="DEC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2744D"/>
    <w:multiLevelType w:val="hybridMultilevel"/>
    <w:tmpl w:val="EB50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567C6C"/>
    <w:multiLevelType w:val="hybridMultilevel"/>
    <w:tmpl w:val="009EF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95171C"/>
    <w:multiLevelType w:val="hybridMultilevel"/>
    <w:tmpl w:val="86F8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E5313"/>
    <w:multiLevelType w:val="hybridMultilevel"/>
    <w:tmpl w:val="A9107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5C5146"/>
    <w:multiLevelType w:val="hybridMultilevel"/>
    <w:tmpl w:val="5860D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5C1526"/>
    <w:multiLevelType w:val="hybridMultilevel"/>
    <w:tmpl w:val="0088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9205B"/>
    <w:multiLevelType w:val="hybridMultilevel"/>
    <w:tmpl w:val="80F4A3B8"/>
    <w:lvl w:ilvl="0" w:tplc="2F7E41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C1551"/>
    <w:multiLevelType w:val="hybridMultilevel"/>
    <w:tmpl w:val="0020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D3CC6"/>
    <w:multiLevelType w:val="hybridMultilevel"/>
    <w:tmpl w:val="5AA8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09937">
    <w:abstractNumId w:val="12"/>
  </w:num>
  <w:num w:numId="2" w16cid:durableId="1548712449">
    <w:abstractNumId w:val="18"/>
  </w:num>
  <w:num w:numId="3" w16cid:durableId="623116453">
    <w:abstractNumId w:val="27"/>
  </w:num>
  <w:num w:numId="4" w16cid:durableId="1616054426">
    <w:abstractNumId w:val="10"/>
  </w:num>
  <w:num w:numId="5" w16cid:durableId="78521779">
    <w:abstractNumId w:val="37"/>
  </w:num>
  <w:num w:numId="6" w16cid:durableId="119108256">
    <w:abstractNumId w:val="35"/>
  </w:num>
  <w:num w:numId="7" w16cid:durableId="966593818">
    <w:abstractNumId w:val="16"/>
  </w:num>
  <w:num w:numId="8" w16cid:durableId="1758599755">
    <w:abstractNumId w:val="24"/>
  </w:num>
  <w:num w:numId="9" w16cid:durableId="1692535694">
    <w:abstractNumId w:val="30"/>
  </w:num>
  <w:num w:numId="10" w16cid:durableId="816066350">
    <w:abstractNumId w:val="28"/>
  </w:num>
  <w:num w:numId="11" w16cid:durableId="584802678">
    <w:abstractNumId w:val="15"/>
  </w:num>
  <w:num w:numId="12" w16cid:durableId="659621577">
    <w:abstractNumId w:val="1"/>
  </w:num>
  <w:num w:numId="13" w16cid:durableId="1058169856">
    <w:abstractNumId w:val="8"/>
  </w:num>
  <w:num w:numId="14" w16cid:durableId="371464184">
    <w:abstractNumId w:val="19"/>
  </w:num>
  <w:num w:numId="15" w16cid:durableId="1804157787">
    <w:abstractNumId w:val="11"/>
  </w:num>
  <w:num w:numId="16" w16cid:durableId="1075708862">
    <w:abstractNumId w:val="13"/>
  </w:num>
  <w:num w:numId="17" w16cid:durableId="585114287">
    <w:abstractNumId w:val="25"/>
  </w:num>
  <w:num w:numId="18" w16cid:durableId="1247349048">
    <w:abstractNumId w:val="33"/>
  </w:num>
  <w:num w:numId="19" w16cid:durableId="1334651380">
    <w:abstractNumId w:val="7"/>
  </w:num>
  <w:num w:numId="20" w16cid:durableId="1749157167">
    <w:abstractNumId w:val="0"/>
  </w:num>
  <w:num w:numId="21" w16cid:durableId="1417288975">
    <w:abstractNumId w:val="36"/>
  </w:num>
  <w:num w:numId="22" w16cid:durableId="594049563">
    <w:abstractNumId w:val="14"/>
  </w:num>
  <w:num w:numId="23" w16cid:durableId="1069032702">
    <w:abstractNumId w:val="29"/>
  </w:num>
  <w:num w:numId="24" w16cid:durableId="1016077697">
    <w:abstractNumId w:val="5"/>
  </w:num>
  <w:num w:numId="25" w16cid:durableId="1192114882">
    <w:abstractNumId w:val="22"/>
  </w:num>
  <w:num w:numId="26" w16cid:durableId="1294293695">
    <w:abstractNumId w:val="4"/>
  </w:num>
  <w:num w:numId="27" w16cid:durableId="694622806">
    <w:abstractNumId w:val="3"/>
  </w:num>
  <w:num w:numId="28" w16cid:durableId="2009476711">
    <w:abstractNumId w:val="34"/>
  </w:num>
  <w:num w:numId="29" w16cid:durableId="737897824">
    <w:abstractNumId w:val="26"/>
  </w:num>
  <w:num w:numId="30" w16cid:durableId="1408723830">
    <w:abstractNumId w:val="21"/>
  </w:num>
  <w:num w:numId="31" w16cid:durableId="2085293072">
    <w:abstractNumId w:val="31"/>
  </w:num>
  <w:num w:numId="32" w16cid:durableId="1489596466">
    <w:abstractNumId w:val="2"/>
  </w:num>
  <w:num w:numId="33" w16cid:durableId="124197330">
    <w:abstractNumId w:val="20"/>
  </w:num>
  <w:num w:numId="34" w16cid:durableId="1073310047">
    <w:abstractNumId w:val="9"/>
  </w:num>
  <w:num w:numId="35" w16cid:durableId="633213477">
    <w:abstractNumId w:val="23"/>
  </w:num>
  <w:num w:numId="36" w16cid:durableId="714425682">
    <w:abstractNumId w:val="6"/>
  </w:num>
  <w:num w:numId="37" w16cid:durableId="1520703379">
    <w:abstractNumId w:val="17"/>
  </w:num>
  <w:num w:numId="38" w16cid:durableId="25325194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4C"/>
    <w:rsid w:val="0000011F"/>
    <w:rsid w:val="000009BC"/>
    <w:rsid w:val="00010737"/>
    <w:rsid w:val="000107C3"/>
    <w:rsid w:val="00012273"/>
    <w:rsid w:val="00012A00"/>
    <w:rsid w:val="00013CA4"/>
    <w:rsid w:val="00013E65"/>
    <w:rsid w:val="000143E6"/>
    <w:rsid w:val="000144E0"/>
    <w:rsid w:val="0001489C"/>
    <w:rsid w:val="0001645E"/>
    <w:rsid w:val="00016AA2"/>
    <w:rsid w:val="00016E21"/>
    <w:rsid w:val="00024325"/>
    <w:rsid w:val="0002503A"/>
    <w:rsid w:val="00025BC4"/>
    <w:rsid w:val="00025C51"/>
    <w:rsid w:val="000275FD"/>
    <w:rsid w:val="00030D0F"/>
    <w:rsid w:val="00033547"/>
    <w:rsid w:val="00034155"/>
    <w:rsid w:val="000347C2"/>
    <w:rsid w:val="0003549E"/>
    <w:rsid w:val="00035629"/>
    <w:rsid w:val="00035A12"/>
    <w:rsid w:val="00035E45"/>
    <w:rsid w:val="00036137"/>
    <w:rsid w:val="00036743"/>
    <w:rsid w:val="0003748E"/>
    <w:rsid w:val="00041B72"/>
    <w:rsid w:val="0004390B"/>
    <w:rsid w:val="000443BB"/>
    <w:rsid w:val="0004539D"/>
    <w:rsid w:val="00045E22"/>
    <w:rsid w:val="0004647B"/>
    <w:rsid w:val="0004773E"/>
    <w:rsid w:val="0005028F"/>
    <w:rsid w:val="0005108B"/>
    <w:rsid w:val="000515DA"/>
    <w:rsid w:val="000516EB"/>
    <w:rsid w:val="00052BF7"/>
    <w:rsid w:val="00052DCD"/>
    <w:rsid w:val="00055E29"/>
    <w:rsid w:val="000563FA"/>
    <w:rsid w:val="000564FE"/>
    <w:rsid w:val="000577D4"/>
    <w:rsid w:val="00060ECC"/>
    <w:rsid w:val="00061A52"/>
    <w:rsid w:val="00063555"/>
    <w:rsid w:val="00064633"/>
    <w:rsid w:val="00066939"/>
    <w:rsid w:val="000672DD"/>
    <w:rsid w:val="000672DF"/>
    <w:rsid w:val="000675C0"/>
    <w:rsid w:val="0007167A"/>
    <w:rsid w:val="000718A5"/>
    <w:rsid w:val="000738B5"/>
    <w:rsid w:val="00074232"/>
    <w:rsid w:val="00075EAD"/>
    <w:rsid w:val="000770CB"/>
    <w:rsid w:val="0007716C"/>
    <w:rsid w:val="000773DF"/>
    <w:rsid w:val="00080208"/>
    <w:rsid w:val="000806C1"/>
    <w:rsid w:val="00081BBE"/>
    <w:rsid w:val="00085357"/>
    <w:rsid w:val="000862EC"/>
    <w:rsid w:val="00087D98"/>
    <w:rsid w:val="000913EC"/>
    <w:rsid w:val="00091E8C"/>
    <w:rsid w:val="00092E42"/>
    <w:rsid w:val="00093227"/>
    <w:rsid w:val="00093F88"/>
    <w:rsid w:val="0009467B"/>
    <w:rsid w:val="00095602"/>
    <w:rsid w:val="000A2BE5"/>
    <w:rsid w:val="000A366A"/>
    <w:rsid w:val="000A4A52"/>
    <w:rsid w:val="000A4C9B"/>
    <w:rsid w:val="000B0BCB"/>
    <w:rsid w:val="000B2379"/>
    <w:rsid w:val="000B2BF1"/>
    <w:rsid w:val="000B4391"/>
    <w:rsid w:val="000B58C5"/>
    <w:rsid w:val="000B5D44"/>
    <w:rsid w:val="000B63B9"/>
    <w:rsid w:val="000B7E9F"/>
    <w:rsid w:val="000C134A"/>
    <w:rsid w:val="000C1400"/>
    <w:rsid w:val="000C1770"/>
    <w:rsid w:val="000C2DC0"/>
    <w:rsid w:val="000C3807"/>
    <w:rsid w:val="000C40D0"/>
    <w:rsid w:val="000C4C22"/>
    <w:rsid w:val="000C5791"/>
    <w:rsid w:val="000C648E"/>
    <w:rsid w:val="000C6AFA"/>
    <w:rsid w:val="000C6F00"/>
    <w:rsid w:val="000C7FC0"/>
    <w:rsid w:val="000D0848"/>
    <w:rsid w:val="000D214D"/>
    <w:rsid w:val="000D264F"/>
    <w:rsid w:val="000D2D7E"/>
    <w:rsid w:val="000D2E3C"/>
    <w:rsid w:val="000D5039"/>
    <w:rsid w:val="000E1BE1"/>
    <w:rsid w:val="000E2935"/>
    <w:rsid w:val="000E3C43"/>
    <w:rsid w:val="000E545F"/>
    <w:rsid w:val="000F06BE"/>
    <w:rsid w:val="000F3574"/>
    <w:rsid w:val="000F491B"/>
    <w:rsid w:val="000F6E04"/>
    <w:rsid w:val="000F6F6D"/>
    <w:rsid w:val="001003C6"/>
    <w:rsid w:val="00100400"/>
    <w:rsid w:val="00100AEB"/>
    <w:rsid w:val="00101F03"/>
    <w:rsid w:val="00103903"/>
    <w:rsid w:val="00104FF7"/>
    <w:rsid w:val="001100EB"/>
    <w:rsid w:val="001132BC"/>
    <w:rsid w:val="00114994"/>
    <w:rsid w:val="00114EA2"/>
    <w:rsid w:val="001153E7"/>
    <w:rsid w:val="001158EA"/>
    <w:rsid w:val="001160D2"/>
    <w:rsid w:val="0011684C"/>
    <w:rsid w:val="001179AA"/>
    <w:rsid w:val="00120420"/>
    <w:rsid w:val="001217DF"/>
    <w:rsid w:val="00121CF3"/>
    <w:rsid w:val="00123F1F"/>
    <w:rsid w:val="0012467C"/>
    <w:rsid w:val="001258E5"/>
    <w:rsid w:val="00125A03"/>
    <w:rsid w:val="00125A64"/>
    <w:rsid w:val="00126758"/>
    <w:rsid w:val="00126858"/>
    <w:rsid w:val="00127E35"/>
    <w:rsid w:val="0013130B"/>
    <w:rsid w:val="00131D9D"/>
    <w:rsid w:val="001334E1"/>
    <w:rsid w:val="00133ECC"/>
    <w:rsid w:val="00136939"/>
    <w:rsid w:val="00137D6F"/>
    <w:rsid w:val="0014181D"/>
    <w:rsid w:val="00141AAD"/>
    <w:rsid w:val="001428B4"/>
    <w:rsid w:val="00142B76"/>
    <w:rsid w:val="00143555"/>
    <w:rsid w:val="00144560"/>
    <w:rsid w:val="0014586F"/>
    <w:rsid w:val="00146B53"/>
    <w:rsid w:val="00150F64"/>
    <w:rsid w:val="001528F2"/>
    <w:rsid w:val="00152CEF"/>
    <w:rsid w:val="00153368"/>
    <w:rsid w:val="00153ACB"/>
    <w:rsid w:val="00154186"/>
    <w:rsid w:val="00156AD3"/>
    <w:rsid w:val="00157C35"/>
    <w:rsid w:val="0016006C"/>
    <w:rsid w:val="001601CB"/>
    <w:rsid w:val="00160D2A"/>
    <w:rsid w:val="001618DA"/>
    <w:rsid w:val="00161D44"/>
    <w:rsid w:val="00162C80"/>
    <w:rsid w:val="00163BE6"/>
    <w:rsid w:val="00164248"/>
    <w:rsid w:val="001642DB"/>
    <w:rsid w:val="00164545"/>
    <w:rsid w:val="001646DB"/>
    <w:rsid w:val="001656BF"/>
    <w:rsid w:val="00165A4B"/>
    <w:rsid w:val="0016673C"/>
    <w:rsid w:val="001677FD"/>
    <w:rsid w:val="00167E2E"/>
    <w:rsid w:val="0017050E"/>
    <w:rsid w:val="00170580"/>
    <w:rsid w:val="00172FE0"/>
    <w:rsid w:val="00173011"/>
    <w:rsid w:val="001743DB"/>
    <w:rsid w:val="00174DC9"/>
    <w:rsid w:val="00176070"/>
    <w:rsid w:val="001772F7"/>
    <w:rsid w:val="00177D21"/>
    <w:rsid w:val="0018068C"/>
    <w:rsid w:val="001821C8"/>
    <w:rsid w:val="001825E3"/>
    <w:rsid w:val="0018416E"/>
    <w:rsid w:val="0018429B"/>
    <w:rsid w:val="0018464A"/>
    <w:rsid w:val="00185F89"/>
    <w:rsid w:val="001906AA"/>
    <w:rsid w:val="0019159A"/>
    <w:rsid w:val="00193910"/>
    <w:rsid w:val="00194AC4"/>
    <w:rsid w:val="00197F74"/>
    <w:rsid w:val="001A0617"/>
    <w:rsid w:val="001A1D33"/>
    <w:rsid w:val="001A66E0"/>
    <w:rsid w:val="001A6D6B"/>
    <w:rsid w:val="001A712C"/>
    <w:rsid w:val="001A78CD"/>
    <w:rsid w:val="001B000A"/>
    <w:rsid w:val="001B0480"/>
    <w:rsid w:val="001B14BD"/>
    <w:rsid w:val="001B199C"/>
    <w:rsid w:val="001B212C"/>
    <w:rsid w:val="001B2EB7"/>
    <w:rsid w:val="001B35A0"/>
    <w:rsid w:val="001B4525"/>
    <w:rsid w:val="001B5389"/>
    <w:rsid w:val="001B65AF"/>
    <w:rsid w:val="001C00BA"/>
    <w:rsid w:val="001C181E"/>
    <w:rsid w:val="001C2235"/>
    <w:rsid w:val="001C3280"/>
    <w:rsid w:val="001C4D64"/>
    <w:rsid w:val="001C5D30"/>
    <w:rsid w:val="001C5DD3"/>
    <w:rsid w:val="001C6C5F"/>
    <w:rsid w:val="001C6DC2"/>
    <w:rsid w:val="001C7917"/>
    <w:rsid w:val="001C7F84"/>
    <w:rsid w:val="001D0B42"/>
    <w:rsid w:val="001D11D8"/>
    <w:rsid w:val="001D1F00"/>
    <w:rsid w:val="001D3437"/>
    <w:rsid w:val="001D4A51"/>
    <w:rsid w:val="001D535C"/>
    <w:rsid w:val="001D6956"/>
    <w:rsid w:val="001D6ABB"/>
    <w:rsid w:val="001E06D0"/>
    <w:rsid w:val="001E351F"/>
    <w:rsid w:val="001E66D8"/>
    <w:rsid w:val="001E6E37"/>
    <w:rsid w:val="001F1B86"/>
    <w:rsid w:val="001F2E42"/>
    <w:rsid w:val="001F4C0B"/>
    <w:rsid w:val="001F61F3"/>
    <w:rsid w:val="001F6C9D"/>
    <w:rsid w:val="00200E71"/>
    <w:rsid w:val="00204956"/>
    <w:rsid w:val="0020792D"/>
    <w:rsid w:val="00210168"/>
    <w:rsid w:val="002101CF"/>
    <w:rsid w:val="002106F7"/>
    <w:rsid w:val="00211516"/>
    <w:rsid w:val="0021157D"/>
    <w:rsid w:val="00211BD3"/>
    <w:rsid w:val="00211FDB"/>
    <w:rsid w:val="00212437"/>
    <w:rsid w:val="002134C7"/>
    <w:rsid w:val="002144E9"/>
    <w:rsid w:val="0021511C"/>
    <w:rsid w:val="00215315"/>
    <w:rsid w:val="00215F23"/>
    <w:rsid w:val="002162B7"/>
    <w:rsid w:val="002205CF"/>
    <w:rsid w:val="00221203"/>
    <w:rsid w:val="00221CDB"/>
    <w:rsid w:val="002223FF"/>
    <w:rsid w:val="00223BA5"/>
    <w:rsid w:val="002255BB"/>
    <w:rsid w:val="00226ACB"/>
    <w:rsid w:val="00227581"/>
    <w:rsid w:val="00233E69"/>
    <w:rsid w:val="00234A4B"/>
    <w:rsid w:val="00235350"/>
    <w:rsid w:val="00235D30"/>
    <w:rsid w:val="0023605D"/>
    <w:rsid w:val="0023606A"/>
    <w:rsid w:val="0023632D"/>
    <w:rsid w:val="00236715"/>
    <w:rsid w:val="00236E35"/>
    <w:rsid w:val="002373D6"/>
    <w:rsid w:val="00237D8D"/>
    <w:rsid w:val="00237E1E"/>
    <w:rsid w:val="00240354"/>
    <w:rsid w:val="00240A59"/>
    <w:rsid w:val="002425EB"/>
    <w:rsid w:val="00244A0C"/>
    <w:rsid w:val="0024678C"/>
    <w:rsid w:val="0024722D"/>
    <w:rsid w:val="002500B6"/>
    <w:rsid w:val="002502D5"/>
    <w:rsid w:val="002505CC"/>
    <w:rsid w:val="00253225"/>
    <w:rsid w:val="00253889"/>
    <w:rsid w:val="00254181"/>
    <w:rsid w:val="00254446"/>
    <w:rsid w:val="00254499"/>
    <w:rsid w:val="00256AD8"/>
    <w:rsid w:val="00256E13"/>
    <w:rsid w:val="00260CC8"/>
    <w:rsid w:val="00261673"/>
    <w:rsid w:val="0026188B"/>
    <w:rsid w:val="00262475"/>
    <w:rsid w:val="00263836"/>
    <w:rsid w:val="0026480F"/>
    <w:rsid w:val="00264BBF"/>
    <w:rsid w:val="00266034"/>
    <w:rsid w:val="00266E52"/>
    <w:rsid w:val="0026701C"/>
    <w:rsid w:val="0026747A"/>
    <w:rsid w:val="00267D6A"/>
    <w:rsid w:val="002703BC"/>
    <w:rsid w:val="002705A2"/>
    <w:rsid w:val="00271ED9"/>
    <w:rsid w:val="0027289C"/>
    <w:rsid w:val="00274C0F"/>
    <w:rsid w:val="0027530F"/>
    <w:rsid w:val="002757EE"/>
    <w:rsid w:val="00275C62"/>
    <w:rsid w:val="00275D41"/>
    <w:rsid w:val="00275ED3"/>
    <w:rsid w:val="00280D32"/>
    <w:rsid w:val="00281023"/>
    <w:rsid w:val="0028353B"/>
    <w:rsid w:val="0028381E"/>
    <w:rsid w:val="00283966"/>
    <w:rsid w:val="00283B3F"/>
    <w:rsid w:val="002860BB"/>
    <w:rsid w:val="00286C0F"/>
    <w:rsid w:val="00287980"/>
    <w:rsid w:val="002901DC"/>
    <w:rsid w:val="00290C88"/>
    <w:rsid w:val="00291091"/>
    <w:rsid w:val="00292372"/>
    <w:rsid w:val="0029259B"/>
    <w:rsid w:val="00292EFD"/>
    <w:rsid w:val="002933F8"/>
    <w:rsid w:val="00295060"/>
    <w:rsid w:val="00296737"/>
    <w:rsid w:val="002A039A"/>
    <w:rsid w:val="002A09F8"/>
    <w:rsid w:val="002A173C"/>
    <w:rsid w:val="002A1C0A"/>
    <w:rsid w:val="002A1E74"/>
    <w:rsid w:val="002A2A68"/>
    <w:rsid w:val="002A3B50"/>
    <w:rsid w:val="002A3D98"/>
    <w:rsid w:val="002A4CAA"/>
    <w:rsid w:val="002A715E"/>
    <w:rsid w:val="002B1C8E"/>
    <w:rsid w:val="002B2800"/>
    <w:rsid w:val="002B3B4A"/>
    <w:rsid w:val="002B4F6F"/>
    <w:rsid w:val="002B55DC"/>
    <w:rsid w:val="002B57BA"/>
    <w:rsid w:val="002B57CB"/>
    <w:rsid w:val="002B5ECF"/>
    <w:rsid w:val="002B6629"/>
    <w:rsid w:val="002B6F0F"/>
    <w:rsid w:val="002B7A6B"/>
    <w:rsid w:val="002B7D66"/>
    <w:rsid w:val="002C0A89"/>
    <w:rsid w:val="002C1393"/>
    <w:rsid w:val="002C19A0"/>
    <w:rsid w:val="002C37B8"/>
    <w:rsid w:val="002C3C4C"/>
    <w:rsid w:val="002C4036"/>
    <w:rsid w:val="002C4348"/>
    <w:rsid w:val="002C701A"/>
    <w:rsid w:val="002C7A17"/>
    <w:rsid w:val="002D03D5"/>
    <w:rsid w:val="002D083D"/>
    <w:rsid w:val="002D2770"/>
    <w:rsid w:val="002D37A1"/>
    <w:rsid w:val="002D41C6"/>
    <w:rsid w:val="002D53FF"/>
    <w:rsid w:val="002D5CD7"/>
    <w:rsid w:val="002D6005"/>
    <w:rsid w:val="002E01AA"/>
    <w:rsid w:val="002E1FFA"/>
    <w:rsid w:val="002E2998"/>
    <w:rsid w:val="002E55D8"/>
    <w:rsid w:val="002E6395"/>
    <w:rsid w:val="002F0EEB"/>
    <w:rsid w:val="002F126D"/>
    <w:rsid w:val="002F1CF9"/>
    <w:rsid w:val="002F222A"/>
    <w:rsid w:val="002F2710"/>
    <w:rsid w:val="002F286F"/>
    <w:rsid w:val="002F3944"/>
    <w:rsid w:val="002F4355"/>
    <w:rsid w:val="002F4BEE"/>
    <w:rsid w:val="002F5228"/>
    <w:rsid w:val="002F55FB"/>
    <w:rsid w:val="002F5979"/>
    <w:rsid w:val="002F6773"/>
    <w:rsid w:val="002F6DF0"/>
    <w:rsid w:val="002F7A06"/>
    <w:rsid w:val="002F7DC3"/>
    <w:rsid w:val="003009AA"/>
    <w:rsid w:val="00302413"/>
    <w:rsid w:val="00302EDB"/>
    <w:rsid w:val="00304BB6"/>
    <w:rsid w:val="00304D14"/>
    <w:rsid w:val="0030637B"/>
    <w:rsid w:val="00307885"/>
    <w:rsid w:val="003107ED"/>
    <w:rsid w:val="003115F6"/>
    <w:rsid w:val="00311C57"/>
    <w:rsid w:val="00313D44"/>
    <w:rsid w:val="003144DE"/>
    <w:rsid w:val="00315A39"/>
    <w:rsid w:val="00316C2D"/>
    <w:rsid w:val="00316E5D"/>
    <w:rsid w:val="0031771A"/>
    <w:rsid w:val="00321910"/>
    <w:rsid w:val="00323878"/>
    <w:rsid w:val="00326330"/>
    <w:rsid w:val="00326CDE"/>
    <w:rsid w:val="00327781"/>
    <w:rsid w:val="003303AA"/>
    <w:rsid w:val="00330E92"/>
    <w:rsid w:val="003327FE"/>
    <w:rsid w:val="00332EB4"/>
    <w:rsid w:val="0033336E"/>
    <w:rsid w:val="00334962"/>
    <w:rsid w:val="00334C7A"/>
    <w:rsid w:val="0033521B"/>
    <w:rsid w:val="003354CB"/>
    <w:rsid w:val="0033562B"/>
    <w:rsid w:val="003371B4"/>
    <w:rsid w:val="00337B00"/>
    <w:rsid w:val="0034010D"/>
    <w:rsid w:val="00340606"/>
    <w:rsid w:val="0034190A"/>
    <w:rsid w:val="00347B58"/>
    <w:rsid w:val="00350CFE"/>
    <w:rsid w:val="00351177"/>
    <w:rsid w:val="003529EF"/>
    <w:rsid w:val="0035393F"/>
    <w:rsid w:val="00353C65"/>
    <w:rsid w:val="0035447C"/>
    <w:rsid w:val="0035543A"/>
    <w:rsid w:val="00355BDA"/>
    <w:rsid w:val="003562C0"/>
    <w:rsid w:val="00356A86"/>
    <w:rsid w:val="00360A97"/>
    <w:rsid w:val="00360B74"/>
    <w:rsid w:val="0036137E"/>
    <w:rsid w:val="00364922"/>
    <w:rsid w:val="00364C14"/>
    <w:rsid w:val="003659C5"/>
    <w:rsid w:val="00366B3C"/>
    <w:rsid w:val="00367216"/>
    <w:rsid w:val="00370681"/>
    <w:rsid w:val="00371079"/>
    <w:rsid w:val="00371C4E"/>
    <w:rsid w:val="0037279C"/>
    <w:rsid w:val="003735DE"/>
    <w:rsid w:val="00373CC3"/>
    <w:rsid w:val="003741E2"/>
    <w:rsid w:val="00374B0B"/>
    <w:rsid w:val="003773C6"/>
    <w:rsid w:val="00377B1F"/>
    <w:rsid w:val="00380200"/>
    <w:rsid w:val="00380BC3"/>
    <w:rsid w:val="00381DC3"/>
    <w:rsid w:val="00382134"/>
    <w:rsid w:val="00385F2E"/>
    <w:rsid w:val="0039020D"/>
    <w:rsid w:val="00390300"/>
    <w:rsid w:val="00390756"/>
    <w:rsid w:val="00392701"/>
    <w:rsid w:val="003949F4"/>
    <w:rsid w:val="00394AD6"/>
    <w:rsid w:val="00395974"/>
    <w:rsid w:val="0039664D"/>
    <w:rsid w:val="00397AAB"/>
    <w:rsid w:val="003A08E6"/>
    <w:rsid w:val="003A09E0"/>
    <w:rsid w:val="003A1071"/>
    <w:rsid w:val="003A1473"/>
    <w:rsid w:val="003A15E1"/>
    <w:rsid w:val="003A2831"/>
    <w:rsid w:val="003A2BA6"/>
    <w:rsid w:val="003A4914"/>
    <w:rsid w:val="003A647E"/>
    <w:rsid w:val="003B14A3"/>
    <w:rsid w:val="003B1617"/>
    <w:rsid w:val="003B28DA"/>
    <w:rsid w:val="003B4028"/>
    <w:rsid w:val="003B51E4"/>
    <w:rsid w:val="003B5920"/>
    <w:rsid w:val="003B6043"/>
    <w:rsid w:val="003C038A"/>
    <w:rsid w:val="003C103D"/>
    <w:rsid w:val="003C265E"/>
    <w:rsid w:val="003C3E0B"/>
    <w:rsid w:val="003C50A1"/>
    <w:rsid w:val="003C53B5"/>
    <w:rsid w:val="003C63ED"/>
    <w:rsid w:val="003D0A4C"/>
    <w:rsid w:val="003D1192"/>
    <w:rsid w:val="003D243F"/>
    <w:rsid w:val="003D44CE"/>
    <w:rsid w:val="003D51D9"/>
    <w:rsid w:val="003D628D"/>
    <w:rsid w:val="003D744C"/>
    <w:rsid w:val="003E20BA"/>
    <w:rsid w:val="003E2E90"/>
    <w:rsid w:val="003E3553"/>
    <w:rsid w:val="003E4B0E"/>
    <w:rsid w:val="003E5FB5"/>
    <w:rsid w:val="003E7AB4"/>
    <w:rsid w:val="003F11F0"/>
    <w:rsid w:val="003F14AD"/>
    <w:rsid w:val="003F26F8"/>
    <w:rsid w:val="003F4167"/>
    <w:rsid w:val="003F57B9"/>
    <w:rsid w:val="003F6C2C"/>
    <w:rsid w:val="003F71DB"/>
    <w:rsid w:val="00403DBB"/>
    <w:rsid w:val="0040469F"/>
    <w:rsid w:val="00406EDB"/>
    <w:rsid w:val="004070FE"/>
    <w:rsid w:val="00407FC9"/>
    <w:rsid w:val="00410B0B"/>
    <w:rsid w:val="00410F2E"/>
    <w:rsid w:val="004114F3"/>
    <w:rsid w:val="004115C8"/>
    <w:rsid w:val="0041278A"/>
    <w:rsid w:val="00413968"/>
    <w:rsid w:val="0041461E"/>
    <w:rsid w:val="00415849"/>
    <w:rsid w:val="00416BE4"/>
    <w:rsid w:val="00416C09"/>
    <w:rsid w:val="00416C9F"/>
    <w:rsid w:val="00417757"/>
    <w:rsid w:val="00417837"/>
    <w:rsid w:val="00417A6E"/>
    <w:rsid w:val="00417B45"/>
    <w:rsid w:val="00421C93"/>
    <w:rsid w:val="00424127"/>
    <w:rsid w:val="0042635F"/>
    <w:rsid w:val="00427864"/>
    <w:rsid w:val="0043416C"/>
    <w:rsid w:val="00434259"/>
    <w:rsid w:val="0043584B"/>
    <w:rsid w:val="00436001"/>
    <w:rsid w:val="004361AA"/>
    <w:rsid w:val="00436BCD"/>
    <w:rsid w:val="0044213A"/>
    <w:rsid w:val="00443FBB"/>
    <w:rsid w:val="00444391"/>
    <w:rsid w:val="00446455"/>
    <w:rsid w:val="00446981"/>
    <w:rsid w:val="00450625"/>
    <w:rsid w:val="004507EA"/>
    <w:rsid w:val="0045413B"/>
    <w:rsid w:val="00454457"/>
    <w:rsid w:val="0045643C"/>
    <w:rsid w:val="00460226"/>
    <w:rsid w:val="00461D29"/>
    <w:rsid w:val="00461DA7"/>
    <w:rsid w:val="00462580"/>
    <w:rsid w:val="004627D8"/>
    <w:rsid w:val="0046478F"/>
    <w:rsid w:val="0046605A"/>
    <w:rsid w:val="0047193D"/>
    <w:rsid w:val="00471C63"/>
    <w:rsid w:val="004722F5"/>
    <w:rsid w:val="004735A7"/>
    <w:rsid w:val="00474F55"/>
    <w:rsid w:val="004755FF"/>
    <w:rsid w:val="00477FD7"/>
    <w:rsid w:val="00482BF6"/>
    <w:rsid w:val="004830B3"/>
    <w:rsid w:val="00483CF7"/>
    <w:rsid w:val="00485179"/>
    <w:rsid w:val="0048615B"/>
    <w:rsid w:val="00486177"/>
    <w:rsid w:val="00487C54"/>
    <w:rsid w:val="00494136"/>
    <w:rsid w:val="00494E2F"/>
    <w:rsid w:val="00496A73"/>
    <w:rsid w:val="0049709B"/>
    <w:rsid w:val="004A0022"/>
    <w:rsid w:val="004A012E"/>
    <w:rsid w:val="004A1558"/>
    <w:rsid w:val="004A2682"/>
    <w:rsid w:val="004A29A2"/>
    <w:rsid w:val="004A2F4E"/>
    <w:rsid w:val="004A4125"/>
    <w:rsid w:val="004A4F7E"/>
    <w:rsid w:val="004B450B"/>
    <w:rsid w:val="004B525D"/>
    <w:rsid w:val="004B6B1C"/>
    <w:rsid w:val="004B7F54"/>
    <w:rsid w:val="004C0B5C"/>
    <w:rsid w:val="004C0D5F"/>
    <w:rsid w:val="004C0FB7"/>
    <w:rsid w:val="004C1A37"/>
    <w:rsid w:val="004C32DE"/>
    <w:rsid w:val="004C34F5"/>
    <w:rsid w:val="004C3FC1"/>
    <w:rsid w:val="004C5694"/>
    <w:rsid w:val="004C5DF9"/>
    <w:rsid w:val="004C5E14"/>
    <w:rsid w:val="004C6532"/>
    <w:rsid w:val="004C6C8F"/>
    <w:rsid w:val="004C7652"/>
    <w:rsid w:val="004C799F"/>
    <w:rsid w:val="004D02EA"/>
    <w:rsid w:val="004D2468"/>
    <w:rsid w:val="004D3436"/>
    <w:rsid w:val="004D4B8A"/>
    <w:rsid w:val="004D6AD7"/>
    <w:rsid w:val="004E06D3"/>
    <w:rsid w:val="004E184C"/>
    <w:rsid w:val="004E228A"/>
    <w:rsid w:val="004E23F3"/>
    <w:rsid w:val="004E6F58"/>
    <w:rsid w:val="004E7043"/>
    <w:rsid w:val="004E75CA"/>
    <w:rsid w:val="004F01B5"/>
    <w:rsid w:val="004F0D68"/>
    <w:rsid w:val="004F1B5C"/>
    <w:rsid w:val="004F1D84"/>
    <w:rsid w:val="004F2DDF"/>
    <w:rsid w:val="004F3CEE"/>
    <w:rsid w:val="004F45C5"/>
    <w:rsid w:val="004F48BE"/>
    <w:rsid w:val="004F54C1"/>
    <w:rsid w:val="004F5683"/>
    <w:rsid w:val="004F5F0F"/>
    <w:rsid w:val="00500209"/>
    <w:rsid w:val="005019A0"/>
    <w:rsid w:val="005023BB"/>
    <w:rsid w:val="0050258A"/>
    <w:rsid w:val="00503D2E"/>
    <w:rsid w:val="00504FC4"/>
    <w:rsid w:val="00505D35"/>
    <w:rsid w:val="00505DC4"/>
    <w:rsid w:val="00506B64"/>
    <w:rsid w:val="00507516"/>
    <w:rsid w:val="0051159D"/>
    <w:rsid w:val="00512C7D"/>
    <w:rsid w:val="00513402"/>
    <w:rsid w:val="00513415"/>
    <w:rsid w:val="00513F9E"/>
    <w:rsid w:val="00514471"/>
    <w:rsid w:val="005151EB"/>
    <w:rsid w:val="005165C7"/>
    <w:rsid w:val="0051715C"/>
    <w:rsid w:val="00517222"/>
    <w:rsid w:val="005203FF"/>
    <w:rsid w:val="0052228C"/>
    <w:rsid w:val="00524492"/>
    <w:rsid w:val="00526E51"/>
    <w:rsid w:val="0053005A"/>
    <w:rsid w:val="00530C41"/>
    <w:rsid w:val="00530D1C"/>
    <w:rsid w:val="005311F0"/>
    <w:rsid w:val="00531B07"/>
    <w:rsid w:val="00532D2C"/>
    <w:rsid w:val="00534E21"/>
    <w:rsid w:val="00537E60"/>
    <w:rsid w:val="00540820"/>
    <w:rsid w:val="00540C69"/>
    <w:rsid w:val="00540EA2"/>
    <w:rsid w:val="005416E7"/>
    <w:rsid w:val="005425B0"/>
    <w:rsid w:val="00543105"/>
    <w:rsid w:val="00543429"/>
    <w:rsid w:val="00544EEE"/>
    <w:rsid w:val="00545054"/>
    <w:rsid w:val="005453C6"/>
    <w:rsid w:val="00545AFB"/>
    <w:rsid w:val="00546EDC"/>
    <w:rsid w:val="00554F39"/>
    <w:rsid w:val="00557B3B"/>
    <w:rsid w:val="00557B45"/>
    <w:rsid w:val="005603FA"/>
    <w:rsid w:val="005608FE"/>
    <w:rsid w:val="00560E7C"/>
    <w:rsid w:val="00561435"/>
    <w:rsid w:val="00561C3E"/>
    <w:rsid w:val="00562CF9"/>
    <w:rsid w:val="00564BC0"/>
    <w:rsid w:val="00564CC1"/>
    <w:rsid w:val="0056511F"/>
    <w:rsid w:val="005657CB"/>
    <w:rsid w:val="0056602D"/>
    <w:rsid w:val="005679F9"/>
    <w:rsid w:val="00567F42"/>
    <w:rsid w:val="0057056A"/>
    <w:rsid w:val="00571046"/>
    <w:rsid w:val="00571112"/>
    <w:rsid w:val="00571AD1"/>
    <w:rsid w:val="00572352"/>
    <w:rsid w:val="00574805"/>
    <w:rsid w:val="00574C8C"/>
    <w:rsid w:val="00575C93"/>
    <w:rsid w:val="0057616C"/>
    <w:rsid w:val="005805AE"/>
    <w:rsid w:val="00580AC6"/>
    <w:rsid w:val="0058179D"/>
    <w:rsid w:val="00582579"/>
    <w:rsid w:val="005851F1"/>
    <w:rsid w:val="005867A6"/>
    <w:rsid w:val="00586BA4"/>
    <w:rsid w:val="0059139E"/>
    <w:rsid w:val="00591681"/>
    <w:rsid w:val="005916A6"/>
    <w:rsid w:val="00591CA2"/>
    <w:rsid w:val="0059214D"/>
    <w:rsid w:val="00593546"/>
    <w:rsid w:val="0059758F"/>
    <w:rsid w:val="00597BDB"/>
    <w:rsid w:val="005A12AD"/>
    <w:rsid w:val="005A2001"/>
    <w:rsid w:val="005A385D"/>
    <w:rsid w:val="005A49E4"/>
    <w:rsid w:val="005A58BB"/>
    <w:rsid w:val="005A6A17"/>
    <w:rsid w:val="005A7059"/>
    <w:rsid w:val="005B1B60"/>
    <w:rsid w:val="005B2714"/>
    <w:rsid w:val="005B3721"/>
    <w:rsid w:val="005B4E6C"/>
    <w:rsid w:val="005B5CD3"/>
    <w:rsid w:val="005B6621"/>
    <w:rsid w:val="005B6FB5"/>
    <w:rsid w:val="005C1085"/>
    <w:rsid w:val="005C1E71"/>
    <w:rsid w:val="005C3329"/>
    <w:rsid w:val="005C5CF5"/>
    <w:rsid w:val="005C7C42"/>
    <w:rsid w:val="005D06D3"/>
    <w:rsid w:val="005D136E"/>
    <w:rsid w:val="005D257A"/>
    <w:rsid w:val="005D47D5"/>
    <w:rsid w:val="005D66DA"/>
    <w:rsid w:val="005D727A"/>
    <w:rsid w:val="005E0D7A"/>
    <w:rsid w:val="005E2785"/>
    <w:rsid w:val="005E2ECF"/>
    <w:rsid w:val="005E3956"/>
    <w:rsid w:val="005E5B36"/>
    <w:rsid w:val="005E6404"/>
    <w:rsid w:val="005F0A27"/>
    <w:rsid w:val="005F1988"/>
    <w:rsid w:val="005F2437"/>
    <w:rsid w:val="005F2710"/>
    <w:rsid w:val="005F2F04"/>
    <w:rsid w:val="005F3AFD"/>
    <w:rsid w:val="005F456A"/>
    <w:rsid w:val="005F4F4A"/>
    <w:rsid w:val="005F555B"/>
    <w:rsid w:val="005F68D6"/>
    <w:rsid w:val="005F7512"/>
    <w:rsid w:val="0060045C"/>
    <w:rsid w:val="00601005"/>
    <w:rsid w:val="00601363"/>
    <w:rsid w:val="006031BF"/>
    <w:rsid w:val="00603659"/>
    <w:rsid w:val="00605511"/>
    <w:rsid w:val="006061BA"/>
    <w:rsid w:val="00610B23"/>
    <w:rsid w:val="006112F6"/>
    <w:rsid w:val="00611582"/>
    <w:rsid w:val="00612131"/>
    <w:rsid w:val="006125E6"/>
    <w:rsid w:val="0061271C"/>
    <w:rsid w:val="00612FC0"/>
    <w:rsid w:val="00617AA8"/>
    <w:rsid w:val="00617EEE"/>
    <w:rsid w:val="006201D5"/>
    <w:rsid w:val="006208BD"/>
    <w:rsid w:val="0062356A"/>
    <w:rsid w:val="00625E83"/>
    <w:rsid w:val="00626655"/>
    <w:rsid w:val="00627DDC"/>
    <w:rsid w:val="00630A25"/>
    <w:rsid w:val="00631634"/>
    <w:rsid w:val="00635968"/>
    <w:rsid w:val="00636245"/>
    <w:rsid w:val="00637D19"/>
    <w:rsid w:val="0064097B"/>
    <w:rsid w:val="00642186"/>
    <w:rsid w:val="00643B77"/>
    <w:rsid w:val="00646AB4"/>
    <w:rsid w:val="00650576"/>
    <w:rsid w:val="006519D2"/>
    <w:rsid w:val="006530F2"/>
    <w:rsid w:val="00653E5C"/>
    <w:rsid w:val="00654762"/>
    <w:rsid w:val="006554DA"/>
    <w:rsid w:val="006570CE"/>
    <w:rsid w:val="006572FA"/>
    <w:rsid w:val="00657DA3"/>
    <w:rsid w:val="006607CB"/>
    <w:rsid w:val="00660A67"/>
    <w:rsid w:val="0066134B"/>
    <w:rsid w:val="006613F7"/>
    <w:rsid w:val="00661D33"/>
    <w:rsid w:val="00663BDC"/>
    <w:rsid w:val="00663F90"/>
    <w:rsid w:val="00664097"/>
    <w:rsid w:val="00664EC5"/>
    <w:rsid w:val="00665019"/>
    <w:rsid w:val="006658EE"/>
    <w:rsid w:val="0066616F"/>
    <w:rsid w:val="00667A2D"/>
    <w:rsid w:val="006709CC"/>
    <w:rsid w:val="00670F4B"/>
    <w:rsid w:val="0067208E"/>
    <w:rsid w:val="00672C4D"/>
    <w:rsid w:val="00672D9C"/>
    <w:rsid w:val="00676102"/>
    <w:rsid w:val="0067762A"/>
    <w:rsid w:val="00680C63"/>
    <w:rsid w:val="00681EB2"/>
    <w:rsid w:val="00682D94"/>
    <w:rsid w:val="00683B28"/>
    <w:rsid w:val="0068441A"/>
    <w:rsid w:val="00684516"/>
    <w:rsid w:val="00684A53"/>
    <w:rsid w:val="00684D91"/>
    <w:rsid w:val="00684E30"/>
    <w:rsid w:val="00686D93"/>
    <w:rsid w:val="00687A71"/>
    <w:rsid w:val="0069082A"/>
    <w:rsid w:val="00690EEF"/>
    <w:rsid w:val="0069205D"/>
    <w:rsid w:val="006934E2"/>
    <w:rsid w:val="00693DFA"/>
    <w:rsid w:val="0069405D"/>
    <w:rsid w:val="00694E2E"/>
    <w:rsid w:val="006954BE"/>
    <w:rsid w:val="00695DAF"/>
    <w:rsid w:val="00696ADD"/>
    <w:rsid w:val="00696E20"/>
    <w:rsid w:val="006A0B80"/>
    <w:rsid w:val="006A1600"/>
    <w:rsid w:val="006A1B18"/>
    <w:rsid w:val="006A26F2"/>
    <w:rsid w:val="006A2B81"/>
    <w:rsid w:val="006A32FC"/>
    <w:rsid w:val="006A37C2"/>
    <w:rsid w:val="006A3893"/>
    <w:rsid w:val="006A6354"/>
    <w:rsid w:val="006A67EE"/>
    <w:rsid w:val="006A6927"/>
    <w:rsid w:val="006B04D9"/>
    <w:rsid w:val="006B1434"/>
    <w:rsid w:val="006B1744"/>
    <w:rsid w:val="006B1886"/>
    <w:rsid w:val="006B195B"/>
    <w:rsid w:val="006B1E11"/>
    <w:rsid w:val="006B2592"/>
    <w:rsid w:val="006B2EB9"/>
    <w:rsid w:val="006B52E6"/>
    <w:rsid w:val="006B60AE"/>
    <w:rsid w:val="006B6238"/>
    <w:rsid w:val="006B67A2"/>
    <w:rsid w:val="006C0CF6"/>
    <w:rsid w:val="006C1150"/>
    <w:rsid w:val="006C1378"/>
    <w:rsid w:val="006C1D67"/>
    <w:rsid w:val="006C268A"/>
    <w:rsid w:val="006C2A11"/>
    <w:rsid w:val="006C6AA6"/>
    <w:rsid w:val="006C7EB4"/>
    <w:rsid w:val="006D0550"/>
    <w:rsid w:val="006D1672"/>
    <w:rsid w:val="006D1EEF"/>
    <w:rsid w:val="006D1F11"/>
    <w:rsid w:val="006D26B1"/>
    <w:rsid w:val="006D2B15"/>
    <w:rsid w:val="006D2BE7"/>
    <w:rsid w:val="006D30FC"/>
    <w:rsid w:val="006D4052"/>
    <w:rsid w:val="006D41D3"/>
    <w:rsid w:val="006D56B1"/>
    <w:rsid w:val="006E2B6D"/>
    <w:rsid w:val="006E36C7"/>
    <w:rsid w:val="006E404E"/>
    <w:rsid w:val="006E4AF0"/>
    <w:rsid w:val="006E4D61"/>
    <w:rsid w:val="006E51A9"/>
    <w:rsid w:val="006E667C"/>
    <w:rsid w:val="006E76E8"/>
    <w:rsid w:val="006F08F5"/>
    <w:rsid w:val="006F28CB"/>
    <w:rsid w:val="006F41BE"/>
    <w:rsid w:val="006F4747"/>
    <w:rsid w:val="006F4EDA"/>
    <w:rsid w:val="006F77E4"/>
    <w:rsid w:val="006F7C60"/>
    <w:rsid w:val="00700539"/>
    <w:rsid w:val="00701EE5"/>
    <w:rsid w:val="00702768"/>
    <w:rsid w:val="00704CE3"/>
    <w:rsid w:val="00705C7D"/>
    <w:rsid w:val="007064FD"/>
    <w:rsid w:val="00707897"/>
    <w:rsid w:val="0070794C"/>
    <w:rsid w:val="0071080E"/>
    <w:rsid w:val="00712314"/>
    <w:rsid w:val="00712ADA"/>
    <w:rsid w:val="00712FF7"/>
    <w:rsid w:val="007135EC"/>
    <w:rsid w:val="00715F8E"/>
    <w:rsid w:val="00721A9F"/>
    <w:rsid w:val="00724F43"/>
    <w:rsid w:val="00724F9A"/>
    <w:rsid w:val="007262DE"/>
    <w:rsid w:val="00731891"/>
    <w:rsid w:val="0073198A"/>
    <w:rsid w:val="00731AE7"/>
    <w:rsid w:val="00734748"/>
    <w:rsid w:val="00735328"/>
    <w:rsid w:val="00735974"/>
    <w:rsid w:val="00735BFA"/>
    <w:rsid w:val="00740665"/>
    <w:rsid w:val="00740C2B"/>
    <w:rsid w:val="00741724"/>
    <w:rsid w:val="00743E0E"/>
    <w:rsid w:val="007443DA"/>
    <w:rsid w:val="00745AB9"/>
    <w:rsid w:val="00747493"/>
    <w:rsid w:val="00747626"/>
    <w:rsid w:val="007509A3"/>
    <w:rsid w:val="00750BF5"/>
    <w:rsid w:val="00751DA7"/>
    <w:rsid w:val="0075358D"/>
    <w:rsid w:val="00753696"/>
    <w:rsid w:val="007537A3"/>
    <w:rsid w:val="007550BB"/>
    <w:rsid w:val="00761BA4"/>
    <w:rsid w:val="00762DCF"/>
    <w:rsid w:val="0076474F"/>
    <w:rsid w:val="00765927"/>
    <w:rsid w:val="0076593D"/>
    <w:rsid w:val="007661A0"/>
    <w:rsid w:val="007665BA"/>
    <w:rsid w:val="007666D7"/>
    <w:rsid w:val="0077112D"/>
    <w:rsid w:val="00774A34"/>
    <w:rsid w:val="00774CDD"/>
    <w:rsid w:val="007755FB"/>
    <w:rsid w:val="007759C1"/>
    <w:rsid w:val="00776648"/>
    <w:rsid w:val="0077697A"/>
    <w:rsid w:val="00776B73"/>
    <w:rsid w:val="0077780B"/>
    <w:rsid w:val="00777FC7"/>
    <w:rsid w:val="00781409"/>
    <w:rsid w:val="00782408"/>
    <w:rsid w:val="0078385E"/>
    <w:rsid w:val="00783F6C"/>
    <w:rsid w:val="007870EA"/>
    <w:rsid w:val="0078716D"/>
    <w:rsid w:val="00787B63"/>
    <w:rsid w:val="0079177B"/>
    <w:rsid w:val="00792278"/>
    <w:rsid w:val="00792BA0"/>
    <w:rsid w:val="0079314F"/>
    <w:rsid w:val="00793313"/>
    <w:rsid w:val="007940A3"/>
    <w:rsid w:val="00796859"/>
    <w:rsid w:val="007A001A"/>
    <w:rsid w:val="007A28BF"/>
    <w:rsid w:val="007A2939"/>
    <w:rsid w:val="007A4A44"/>
    <w:rsid w:val="007A595E"/>
    <w:rsid w:val="007A743B"/>
    <w:rsid w:val="007B0454"/>
    <w:rsid w:val="007B0FD5"/>
    <w:rsid w:val="007B1097"/>
    <w:rsid w:val="007B28E3"/>
    <w:rsid w:val="007B3B19"/>
    <w:rsid w:val="007C13F3"/>
    <w:rsid w:val="007C192F"/>
    <w:rsid w:val="007C374C"/>
    <w:rsid w:val="007C38AB"/>
    <w:rsid w:val="007C41F7"/>
    <w:rsid w:val="007C4664"/>
    <w:rsid w:val="007C4836"/>
    <w:rsid w:val="007C559E"/>
    <w:rsid w:val="007C5B70"/>
    <w:rsid w:val="007C5CE8"/>
    <w:rsid w:val="007C6312"/>
    <w:rsid w:val="007D0803"/>
    <w:rsid w:val="007D15B6"/>
    <w:rsid w:val="007D19A2"/>
    <w:rsid w:val="007D1D94"/>
    <w:rsid w:val="007D1E5F"/>
    <w:rsid w:val="007D1FDD"/>
    <w:rsid w:val="007D3937"/>
    <w:rsid w:val="007D4373"/>
    <w:rsid w:val="007D546D"/>
    <w:rsid w:val="007D5FAE"/>
    <w:rsid w:val="007D68D5"/>
    <w:rsid w:val="007E075B"/>
    <w:rsid w:val="007E195B"/>
    <w:rsid w:val="007E2160"/>
    <w:rsid w:val="007E23E1"/>
    <w:rsid w:val="007E4758"/>
    <w:rsid w:val="007E48E0"/>
    <w:rsid w:val="007E4CE8"/>
    <w:rsid w:val="007E6724"/>
    <w:rsid w:val="007E749C"/>
    <w:rsid w:val="007E74B5"/>
    <w:rsid w:val="007F02F7"/>
    <w:rsid w:val="007F2864"/>
    <w:rsid w:val="007F3E14"/>
    <w:rsid w:val="007F6129"/>
    <w:rsid w:val="007F791C"/>
    <w:rsid w:val="00800A43"/>
    <w:rsid w:val="008011E7"/>
    <w:rsid w:val="008021C6"/>
    <w:rsid w:val="008069FB"/>
    <w:rsid w:val="00806F9A"/>
    <w:rsid w:val="008123C1"/>
    <w:rsid w:val="008128DF"/>
    <w:rsid w:val="00813099"/>
    <w:rsid w:val="00813933"/>
    <w:rsid w:val="00813999"/>
    <w:rsid w:val="00813D62"/>
    <w:rsid w:val="00816DEC"/>
    <w:rsid w:val="008202C3"/>
    <w:rsid w:val="00820466"/>
    <w:rsid w:val="00820B67"/>
    <w:rsid w:val="008214F7"/>
    <w:rsid w:val="00821779"/>
    <w:rsid w:val="008221D5"/>
    <w:rsid w:val="00822F7E"/>
    <w:rsid w:val="00823512"/>
    <w:rsid w:val="00823AA9"/>
    <w:rsid w:val="00824AF0"/>
    <w:rsid w:val="00825AC3"/>
    <w:rsid w:val="008269AA"/>
    <w:rsid w:val="00827E08"/>
    <w:rsid w:val="008317A3"/>
    <w:rsid w:val="00832881"/>
    <w:rsid w:val="00832E43"/>
    <w:rsid w:val="00833224"/>
    <w:rsid w:val="008357A5"/>
    <w:rsid w:val="00835901"/>
    <w:rsid w:val="00837B27"/>
    <w:rsid w:val="008401A8"/>
    <w:rsid w:val="00842CAC"/>
    <w:rsid w:val="00843863"/>
    <w:rsid w:val="008439A6"/>
    <w:rsid w:val="008443A4"/>
    <w:rsid w:val="0084465F"/>
    <w:rsid w:val="00844874"/>
    <w:rsid w:val="00844D83"/>
    <w:rsid w:val="00845A0D"/>
    <w:rsid w:val="008460C7"/>
    <w:rsid w:val="00850CCA"/>
    <w:rsid w:val="0085208C"/>
    <w:rsid w:val="00852DB2"/>
    <w:rsid w:val="00853DEC"/>
    <w:rsid w:val="00854111"/>
    <w:rsid w:val="00854EF4"/>
    <w:rsid w:val="0085775E"/>
    <w:rsid w:val="00857B14"/>
    <w:rsid w:val="00862010"/>
    <w:rsid w:val="0086204A"/>
    <w:rsid w:val="0086257E"/>
    <w:rsid w:val="008633FE"/>
    <w:rsid w:val="0086379A"/>
    <w:rsid w:val="00865F22"/>
    <w:rsid w:val="00866266"/>
    <w:rsid w:val="00866459"/>
    <w:rsid w:val="0086797D"/>
    <w:rsid w:val="008687AB"/>
    <w:rsid w:val="0087006F"/>
    <w:rsid w:val="00870D4E"/>
    <w:rsid w:val="00872142"/>
    <w:rsid w:val="00872519"/>
    <w:rsid w:val="00873333"/>
    <w:rsid w:val="00875179"/>
    <w:rsid w:val="0087583A"/>
    <w:rsid w:val="00875982"/>
    <w:rsid w:val="00875F52"/>
    <w:rsid w:val="008774F4"/>
    <w:rsid w:val="0087753F"/>
    <w:rsid w:val="008775A2"/>
    <w:rsid w:val="00877F7D"/>
    <w:rsid w:val="008818B8"/>
    <w:rsid w:val="0088253D"/>
    <w:rsid w:val="008826B6"/>
    <w:rsid w:val="00884559"/>
    <w:rsid w:val="008908EC"/>
    <w:rsid w:val="00890D01"/>
    <w:rsid w:val="00892935"/>
    <w:rsid w:val="0089301E"/>
    <w:rsid w:val="00893C22"/>
    <w:rsid w:val="00893CD0"/>
    <w:rsid w:val="0089428F"/>
    <w:rsid w:val="008948B7"/>
    <w:rsid w:val="00894D07"/>
    <w:rsid w:val="00895A15"/>
    <w:rsid w:val="00895AA3"/>
    <w:rsid w:val="00895E86"/>
    <w:rsid w:val="008965E0"/>
    <w:rsid w:val="00896913"/>
    <w:rsid w:val="00897444"/>
    <w:rsid w:val="008A3478"/>
    <w:rsid w:val="008A4C65"/>
    <w:rsid w:val="008A684E"/>
    <w:rsid w:val="008A6B2F"/>
    <w:rsid w:val="008B0412"/>
    <w:rsid w:val="008B0AFE"/>
    <w:rsid w:val="008B101C"/>
    <w:rsid w:val="008B534E"/>
    <w:rsid w:val="008B6B61"/>
    <w:rsid w:val="008B7826"/>
    <w:rsid w:val="008C012A"/>
    <w:rsid w:val="008C097D"/>
    <w:rsid w:val="008C215B"/>
    <w:rsid w:val="008C287C"/>
    <w:rsid w:val="008C6568"/>
    <w:rsid w:val="008C71F3"/>
    <w:rsid w:val="008D0731"/>
    <w:rsid w:val="008D0D92"/>
    <w:rsid w:val="008D14A2"/>
    <w:rsid w:val="008D2027"/>
    <w:rsid w:val="008D223D"/>
    <w:rsid w:val="008D2E94"/>
    <w:rsid w:val="008D449B"/>
    <w:rsid w:val="008D45C5"/>
    <w:rsid w:val="008D4F79"/>
    <w:rsid w:val="008E0CA5"/>
    <w:rsid w:val="008E17E3"/>
    <w:rsid w:val="008E32B5"/>
    <w:rsid w:val="008E3EC3"/>
    <w:rsid w:val="008E47DC"/>
    <w:rsid w:val="008E497A"/>
    <w:rsid w:val="008E5095"/>
    <w:rsid w:val="008E7B79"/>
    <w:rsid w:val="008F237B"/>
    <w:rsid w:val="008F2941"/>
    <w:rsid w:val="008F377C"/>
    <w:rsid w:val="008F644F"/>
    <w:rsid w:val="008F6682"/>
    <w:rsid w:val="008F758C"/>
    <w:rsid w:val="009006D5"/>
    <w:rsid w:val="00900765"/>
    <w:rsid w:val="00901707"/>
    <w:rsid w:val="00905342"/>
    <w:rsid w:val="0090616F"/>
    <w:rsid w:val="00906E7C"/>
    <w:rsid w:val="009075E8"/>
    <w:rsid w:val="00910E7B"/>
    <w:rsid w:val="0091158D"/>
    <w:rsid w:val="00911590"/>
    <w:rsid w:val="00912211"/>
    <w:rsid w:val="009130C5"/>
    <w:rsid w:val="00913B0C"/>
    <w:rsid w:val="009142A7"/>
    <w:rsid w:val="0091486A"/>
    <w:rsid w:val="00914C06"/>
    <w:rsid w:val="0091729B"/>
    <w:rsid w:val="00922186"/>
    <w:rsid w:val="00922E37"/>
    <w:rsid w:val="00924047"/>
    <w:rsid w:val="00924BBD"/>
    <w:rsid w:val="00925288"/>
    <w:rsid w:val="00925C9D"/>
    <w:rsid w:val="00927EC7"/>
    <w:rsid w:val="009324C8"/>
    <w:rsid w:val="00933041"/>
    <w:rsid w:val="00934229"/>
    <w:rsid w:val="009364FB"/>
    <w:rsid w:val="00936CDB"/>
    <w:rsid w:val="00937E9C"/>
    <w:rsid w:val="00940645"/>
    <w:rsid w:val="00941553"/>
    <w:rsid w:val="0094165D"/>
    <w:rsid w:val="00942134"/>
    <w:rsid w:val="009433C8"/>
    <w:rsid w:val="00944B05"/>
    <w:rsid w:val="00945B7F"/>
    <w:rsid w:val="00946E5B"/>
    <w:rsid w:val="00947A04"/>
    <w:rsid w:val="00947EE2"/>
    <w:rsid w:val="00950DD2"/>
    <w:rsid w:val="009510DD"/>
    <w:rsid w:val="0095258A"/>
    <w:rsid w:val="009550D1"/>
    <w:rsid w:val="00955102"/>
    <w:rsid w:val="00955C97"/>
    <w:rsid w:val="009560F1"/>
    <w:rsid w:val="0095690D"/>
    <w:rsid w:val="0096079D"/>
    <w:rsid w:val="00961593"/>
    <w:rsid w:val="00961CEA"/>
    <w:rsid w:val="00961E37"/>
    <w:rsid w:val="00962D77"/>
    <w:rsid w:val="00963237"/>
    <w:rsid w:val="00965287"/>
    <w:rsid w:val="00965908"/>
    <w:rsid w:val="00967505"/>
    <w:rsid w:val="009711C0"/>
    <w:rsid w:val="00972605"/>
    <w:rsid w:val="009774AF"/>
    <w:rsid w:val="00977E96"/>
    <w:rsid w:val="00980521"/>
    <w:rsid w:val="00980F7E"/>
    <w:rsid w:val="00981311"/>
    <w:rsid w:val="009835E5"/>
    <w:rsid w:val="00984316"/>
    <w:rsid w:val="00985F15"/>
    <w:rsid w:val="00986131"/>
    <w:rsid w:val="00990FBC"/>
    <w:rsid w:val="0099195B"/>
    <w:rsid w:val="009936FC"/>
    <w:rsid w:val="00993A1B"/>
    <w:rsid w:val="00994ADA"/>
    <w:rsid w:val="0099760F"/>
    <w:rsid w:val="009977DF"/>
    <w:rsid w:val="009A13D8"/>
    <w:rsid w:val="009A3890"/>
    <w:rsid w:val="009A44C0"/>
    <w:rsid w:val="009B275A"/>
    <w:rsid w:val="009B2F90"/>
    <w:rsid w:val="009B32AD"/>
    <w:rsid w:val="009B381B"/>
    <w:rsid w:val="009B43AD"/>
    <w:rsid w:val="009B6E79"/>
    <w:rsid w:val="009C1D53"/>
    <w:rsid w:val="009C2001"/>
    <w:rsid w:val="009C2180"/>
    <w:rsid w:val="009C2B6E"/>
    <w:rsid w:val="009C437E"/>
    <w:rsid w:val="009C4B64"/>
    <w:rsid w:val="009C5C56"/>
    <w:rsid w:val="009C5C5C"/>
    <w:rsid w:val="009C65DE"/>
    <w:rsid w:val="009C7705"/>
    <w:rsid w:val="009C7835"/>
    <w:rsid w:val="009D0CFC"/>
    <w:rsid w:val="009D1E33"/>
    <w:rsid w:val="009D2265"/>
    <w:rsid w:val="009D2E1D"/>
    <w:rsid w:val="009D3071"/>
    <w:rsid w:val="009D30DF"/>
    <w:rsid w:val="009D33F7"/>
    <w:rsid w:val="009D3F31"/>
    <w:rsid w:val="009D3F54"/>
    <w:rsid w:val="009D5E65"/>
    <w:rsid w:val="009D695C"/>
    <w:rsid w:val="009E13DB"/>
    <w:rsid w:val="009E18CA"/>
    <w:rsid w:val="009E2D1C"/>
    <w:rsid w:val="009E3EEC"/>
    <w:rsid w:val="009E4805"/>
    <w:rsid w:val="009E55D7"/>
    <w:rsid w:val="009E62EA"/>
    <w:rsid w:val="009E65B4"/>
    <w:rsid w:val="009E6953"/>
    <w:rsid w:val="009E6A81"/>
    <w:rsid w:val="009E73F9"/>
    <w:rsid w:val="009F11E4"/>
    <w:rsid w:val="009F2071"/>
    <w:rsid w:val="009F3012"/>
    <w:rsid w:val="009F3B26"/>
    <w:rsid w:val="009F4268"/>
    <w:rsid w:val="009F48BA"/>
    <w:rsid w:val="009F6796"/>
    <w:rsid w:val="009F69D4"/>
    <w:rsid w:val="009F79E3"/>
    <w:rsid w:val="009F7D8F"/>
    <w:rsid w:val="00A026E1"/>
    <w:rsid w:val="00A02815"/>
    <w:rsid w:val="00A05256"/>
    <w:rsid w:val="00A0758F"/>
    <w:rsid w:val="00A1015E"/>
    <w:rsid w:val="00A14C0D"/>
    <w:rsid w:val="00A15C8A"/>
    <w:rsid w:val="00A16CA2"/>
    <w:rsid w:val="00A2016A"/>
    <w:rsid w:val="00A20C38"/>
    <w:rsid w:val="00A26046"/>
    <w:rsid w:val="00A2654A"/>
    <w:rsid w:val="00A26B27"/>
    <w:rsid w:val="00A27292"/>
    <w:rsid w:val="00A34703"/>
    <w:rsid w:val="00A34E02"/>
    <w:rsid w:val="00A35D2D"/>
    <w:rsid w:val="00A418D4"/>
    <w:rsid w:val="00A435E8"/>
    <w:rsid w:val="00A43EFE"/>
    <w:rsid w:val="00A44AB7"/>
    <w:rsid w:val="00A44C04"/>
    <w:rsid w:val="00A4524E"/>
    <w:rsid w:val="00A46E6D"/>
    <w:rsid w:val="00A51FE7"/>
    <w:rsid w:val="00A52297"/>
    <w:rsid w:val="00A52981"/>
    <w:rsid w:val="00A52A75"/>
    <w:rsid w:val="00A53221"/>
    <w:rsid w:val="00A533AB"/>
    <w:rsid w:val="00A535E8"/>
    <w:rsid w:val="00A53760"/>
    <w:rsid w:val="00A566FC"/>
    <w:rsid w:val="00A57436"/>
    <w:rsid w:val="00A60AFB"/>
    <w:rsid w:val="00A61FBB"/>
    <w:rsid w:val="00A652FD"/>
    <w:rsid w:val="00A702BC"/>
    <w:rsid w:val="00A70FF5"/>
    <w:rsid w:val="00A71E67"/>
    <w:rsid w:val="00A72CE3"/>
    <w:rsid w:val="00A73A61"/>
    <w:rsid w:val="00A73DA5"/>
    <w:rsid w:val="00A7459A"/>
    <w:rsid w:val="00A7578E"/>
    <w:rsid w:val="00A76136"/>
    <w:rsid w:val="00A83FF8"/>
    <w:rsid w:val="00A841B1"/>
    <w:rsid w:val="00A8469C"/>
    <w:rsid w:val="00A85261"/>
    <w:rsid w:val="00A8597D"/>
    <w:rsid w:val="00A85DE5"/>
    <w:rsid w:val="00A87E25"/>
    <w:rsid w:val="00A9071E"/>
    <w:rsid w:val="00A923F7"/>
    <w:rsid w:val="00A94195"/>
    <w:rsid w:val="00A944C1"/>
    <w:rsid w:val="00A95AFE"/>
    <w:rsid w:val="00A95B23"/>
    <w:rsid w:val="00A97437"/>
    <w:rsid w:val="00AA0729"/>
    <w:rsid w:val="00AA24FD"/>
    <w:rsid w:val="00AA285A"/>
    <w:rsid w:val="00AA3777"/>
    <w:rsid w:val="00AA65B2"/>
    <w:rsid w:val="00AA6C83"/>
    <w:rsid w:val="00AA7174"/>
    <w:rsid w:val="00AA7691"/>
    <w:rsid w:val="00AB0F4C"/>
    <w:rsid w:val="00AB1086"/>
    <w:rsid w:val="00AB3686"/>
    <w:rsid w:val="00AB3B5D"/>
    <w:rsid w:val="00AB42F2"/>
    <w:rsid w:val="00AB46E5"/>
    <w:rsid w:val="00AB49D0"/>
    <w:rsid w:val="00AB4AFE"/>
    <w:rsid w:val="00AB60F2"/>
    <w:rsid w:val="00AC1B6A"/>
    <w:rsid w:val="00AC24B9"/>
    <w:rsid w:val="00AC2B81"/>
    <w:rsid w:val="00AC39F3"/>
    <w:rsid w:val="00AC4D45"/>
    <w:rsid w:val="00AC6281"/>
    <w:rsid w:val="00AD1753"/>
    <w:rsid w:val="00AD264B"/>
    <w:rsid w:val="00AD2D7B"/>
    <w:rsid w:val="00AD3608"/>
    <w:rsid w:val="00AD3BB7"/>
    <w:rsid w:val="00AD442B"/>
    <w:rsid w:val="00AD4AB7"/>
    <w:rsid w:val="00AD629F"/>
    <w:rsid w:val="00AD66B7"/>
    <w:rsid w:val="00AD699E"/>
    <w:rsid w:val="00AD7DA4"/>
    <w:rsid w:val="00AE1DA5"/>
    <w:rsid w:val="00AE273C"/>
    <w:rsid w:val="00AE36D1"/>
    <w:rsid w:val="00AE3865"/>
    <w:rsid w:val="00AE417D"/>
    <w:rsid w:val="00AE445F"/>
    <w:rsid w:val="00AE5FFC"/>
    <w:rsid w:val="00AE74FA"/>
    <w:rsid w:val="00AE75A7"/>
    <w:rsid w:val="00AF0724"/>
    <w:rsid w:val="00AF0918"/>
    <w:rsid w:val="00AF1284"/>
    <w:rsid w:val="00AF3D4B"/>
    <w:rsid w:val="00AF4908"/>
    <w:rsid w:val="00AF552D"/>
    <w:rsid w:val="00AF6C3F"/>
    <w:rsid w:val="00AF78F0"/>
    <w:rsid w:val="00AF7C03"/>
    <w:rsid w:val="00B011CB"/>
    <w:rsid w:val="00B01842"/>
    <w:rsid w:val="00B019DB"/>
    <w:rsid w:val="00B01AC2"/>
    <w:rsid w:val="00B025CF"/>
    <w:rsid w:val="00B03313"/>
    <w:rsid w:val="00B06E59"/>
    <w:rsid w:val="00B0715D"/>
    <w:rsid w:val="00B0792C"/>
    <w:rsid w:val="00B07BE0"/>
    <w:rsid w:val="00B115BE"/>
    <w:rsid w:val="00B12333"/>
    <w:rsid w:val="00B1302B"/>
    <w:rsid w:val="00B1340C"/>
    <w:rsid w:val="00B16C20"/>
    <w:rsid w:val="00B21083"/>
    <w:rsid w:val="00B21157"/>
    <w:rsid w:val="00B22440"/>
    <w:rsid w:val="00B24A12"/>
    <w:rsid w:val="00B272CD"/>
    <w:rsid w:val="00B313A0"/>
    <w:rsid w:val="00B31556"/>
    <w:rsid w:val="00B32C73"/>
    <w:rsid w:val="00B32FB2"/>
    <w:rsid w:val="00B331B4"/>
    <w:rsid w:val="00B33F2E"/>
    <w:rsid w:val="00B379E1"/>
    <w:rsid w:val="00B40E33"/>
    <w:rsid w:val="00B44A86"/>
    <w:rsid w:val="00B45199"/>
    <w:rsid w:val="00B476F4"/>
    <w:rsid w:val="00B507B1"/>
    <w:rsid w:val="00B50B3A"/>
    <w:rsid w:val="00B50C0A"/>
    <w:rsid w:val="00B51CAC"/>
    <w:rsid w:val="00B51CF8"/>
    <w:rsid w:val="00B5307A"/>
    <w:rsid w:val="00B54569"/>
    <w:rsid w:val="00B54917"/>
    <w:rsid w:val="00B55FA5"/>
    <w:rsid w:val="00B56B04"/>
    <w:rsid w:val="00B57068"/>
    <w:rsid w:val="00B60BAB"/>
    <w:rsid w:val="00B620DE"/>
    <w:rsid w:val="00B632A1"/>
    <w:rsid w:val="00B64A6C"/>
    <w:rsid w:val="00B64D99"/>
    <w:rsid w:val="00B67805"/>
    <w:rsid w:val="00B7337B"/>
    <w:rsid w:val="00B73FE4"/>
    <w:rsid w:val="00B7435B"/>
    <w:rsid w:val="00B7489F"/>
    <w:rsid w:val="00B77397"/>
    <w:rsid w:val="00B81CC3"/>
    <w:rsid w:val="00B82689"/>
    <w:rsid w:val="00B82D5A"/>
    <w:rsid w:val="00B83CD4"/>
    <w:rsid w:val="00B8462B"/>
    <w:rsid w:val="00B84799"/>
    <w:rsid w:val="00B8575A"/>
    <w:rsid w:val="00B86DE6"/>
    <w:rsid w:val="00B86E75"/>
    <w:rsid w:val="00B87EA7"/>
    <w:rsid w:val="00B91F14"/>
    <w:rsid w:val="00B927DC"/>
    <w:rsid w:val="00B960C3"/>
    <w:rsid w:val="00B978F3"/>
    <w:rsid w:val="00BA17DD"/>
    <w:rsid w:val="00BA1BDB"/>
    <w:rsid w:val="00BA6DB6"/>
    <w:rsid w:val="00BA78EA"/>
    <w:rsid w:val="00BB0CEF"/>
    <w:rsid w:val="00BB13B5"/>
    <w:rsid w:val="00BB1442"/>
    <w:rsid w:val="00BB2DDA"/>
    <w:rsid w:val="00BB36A0"/>
    <w:rsid w:val="00BB4B5F"/>
    <w:rsid w:val="00BB603B"/>
    <w:rsid w:val="00BB697C"/>
    <w:rsid w:val="00BC0DE6"/>
    <w:rsid w:val="00BC165C"/>
    <w:rsid w:val="00BC1E9F"/>
    <w:rsid w:val="00BC24CE"/>
    <w:rsid w:val="00BC266F"/>
    <w:rsid w:val="00BC39B8"/>
    <w:rsid w:val="00BC3C97"/>
    <w:rsid w:val="00BC4116"/>
    <w:rsid w:val="00BC4C7E"/>
    <w:rsid w:val="00BC559B"/>
    <w:rsid w:val="00BC6B34"/>
    <w:rsid w:val="00BD0784"/>
    <w:rsid w:val="00BD1E47"/>
    <w:rsid w:val="00BD3DC9"/>
    <w:rsid w:val="00BD3F4A"/>
    <w:rsid w:val="00BD42F6"/>
    <w:rsid w:val="00BD45C9"/>
    <w:rsid w:val="00BD46F6"/>
    <w:rsid w:val="00BD5958"/>
    <w:rsid w:val="00BD707E"/>
    <w:rsid w:val="00BE1A8E"/>
    <w:rsid w:val="00BE1D34"/>
    <w:rsid w:val="00BE449B"/>
    <w:rsid w:val="00BE4E58"/>
    <w:rsid w:val="00BE629A"/>
    <w:rsid w:val="00BE67DA"/>
    <w:rsid w:val="00BF1A84"/>
    <w:rsid w:val="00BF49C0"/>
    <w:rsid w:val="00BF6CB4"/>
    <w:rsid w:val="00BF73DC"/>
    <w:rsid w:val="00C033AB"/>
    <w:rsid w:val="00C04836"/>
    <w:rsid w:val="00C0647A"/>
    <w:rsid w:val="00C127A7"/>
    <w:rsid w:val="00C14432"/>
    <w:rsid w:val="00C14CDF"/>
    <w:rsid w:val="00C14EB3"/>
    <w:rsid w:val="00C15A29"/>
    <w:rsid w:val="00C2005A"/>
    <w:rsid w:val="00C207BA"/>
    <w:rsid w:val="00C24527"/>
    <w:rsid w:val="00C2686D"/>
    <w:rsid w:val="00C27B9F"/>
    <w:rsid w:val="00C3082E"/>
    <w:rsid w:val="00C3194C"/>
    <w:rsid w:val="00C31B35"/>
    <w:rsid w:val="00C32834"/>
    <w:rsid w:val="00C33869"/>
    <w:rsid w:val="00C343C8"/>
    <w:rsid w:val="00C36F62"/>
    <w:rsid w:val="00C37C67"/>
    <w:rsid w:val="00C40D7F"/>
    <w:rsid w:val="00C42541"/>
    <w:rsid w:val="00C428D9"/>
    <w:rsid w:val="00C4339E"/>
    <w:rsid w:val="00C43428"/>
    <w:rsid w:val="00C52463"/>
    <w:rsid w:val="00C538E2"/>
    <w:rsid w:val="00C5515B"/>
    <w:rsid w:val="00C558C5"/>
    <w:rsid w:val="00C56F22"/>
    <w:rsid w:val="00C570B4"/>
    <w:rsid w:val="00C60012"/>
    <w:rsid w:val="00C60852"/>
    <w:rsid w:val="00C61DE8"/>
    <w:rsid w:val="00C62110"/>
    <w:rsid w:val="00C641FA"/>
    <w:rsid w:val="00C64975"/>
    <w:rsid w:val="00C65092"/>
    <w:rsid w:val="00C65262"/>
    <w:rsid w:val="00C655EF"/>
    <w:rsid w:val="00C656FC"/>
    <w:rsid w:val="00C67D86"/>
    <w:rsid w:val="00C703B8"/>
    <w:rsid w:val="00C70837"/>
    <w:rsid w:val="00C714BF"/>
    <w:rsid w:val="00C720A3"/>
    <w:rsid w:val="00C72E10"/>
    <w:rsid w:val="00C7313F"/>
    <w:rsid w:val="00C73829"/>
    <w:rsid w:val="00C75107"/>
    <w:rsid w:val="00C754D6"/>
    <w:rsid w:val="00C803AD"/>
    <w:rsid w:val="00C82796"/>
    <w:rsid w:val="00C83E93"/>
    <w:rsid w:val="00C8545F"/>
    <w:rsid w:val="00C85A68"/>
    <w:rsid w:val="00C87ECD"/>
    <w:rsid w:val="00C90070"/>
    <w:rsid w:val="00C903B7"/>
    <w:rsid w:val="00C91E80"/>
    <w:rsid w:val="00C93E52"/>
    <w:rsid w:val="00C94220"/>
    <w:rsid w:val="00C953BF"/>
    <w:rsid w:val="00C96CCB"/>
    <w:rsid w:val="00C976A1"/>
    <w:rsid w:val="00CA189E"/>
    <w:rsid w:val="00CA204E"/>
    <w:rsid w:val="00CA2580"/>
    <w:rsid w:val="00CA2895"/>
    <w:rsid w:val="00CA4D57"/>
    <w:rsid w:val="00CA54B6"/>
    <w:rsid w:val="00CA6D57"/>
    <w:rsid w:val="00CA7955"/>
    <w:rsid w:val="00CB1F50"/>
    <w:rsid w:val="00CB7A1E"/>
    <w:rsid w:val="00CC0195"/>
    <w:rsid w:val="00CC0C5E"/>
    <w:rsid w:val="00CC12CB"/>
    <w:rsid w:val="00CC1B1D"/>
    <w:rsid w:val="00CC3AC8"/>
    <w:rsid w:val="00CC4EDD"/>
    <w:rsid w:val="00CC4FC1"/>
    <w:rsid w:val="00CC5139"/>
    <w:rsid w:val="00CD21A2"/>
    <w:rsid w:val="00CD2912"/>
    <w:rsid w:val="00CD2DE8"/>
    <w:rsid w:val="00CD3EC9"/>
    <w:rsid w:val="00CD6886"/>
    <w:rsid w:val="00CD6F39"/>
    <w:rsid w:val="00CE4163"/>
    <w:rsid w:val="00CE4638"/>
    <w:rsid w:val="00CE6301"/>
    <w:rsid w:val="00CF0379"/>
    <w:rsid w:val="00CF0440"/>
    <w:rsid w:val="00CF10CF"/>
    <w:rsid w:val="00CF1F49"/>
    <w:rsid w:val="00CF26CC"/>
    <w:rsid w:val="00CF3086"/>
    <w:rsid w:val="00CF3CEB"/>
    <w:rsid w:val="00CF4CC4"/>
    <w:rsid w:val="00CF74B0"/>
    <w:rsid w:val="00D010B5"/>
    <w:rsid w:val="00D0190D"/>
    <w:rsid w:val="00D02374"/>
    <w:rsid w:val="00D05564"/>
    <w:rsid w:val="00D07385"/>
    <w:rsid w:val="00D10D48"/>
    <w:rsid w:val="00D11563"/>
    <w:rsid w:val="00D125D1"/>
    <w:rsid w:val="00D12E25"/>
    <w:rsid w:val="00D13401"/>
    <w:rsid w:val="00D137E9"/>
    <w:rsid w:val="00D13C91"/>
    <w:rsid w:val="00D14191"/>
    <w:rsid w:val="00D154BF"/>
    <w:rsid w:val="00D15AAC"/>
    <w:rsid w:val="00D1674D"/>
    <w:rsid w:val="00D168FC"/>
    <w:rsid w:val="00D16DB8"/>
    <w:rsid w:val="00D16E60"/>
    <w:rsid w:val="00D17212"/>
    <w:rsid w:val="00D17D43"/>
    <w:rsid w:val="00D200C4"/>
    <w:rsid w:val="00D218F9"/>
    <w:rsid w:val="00D225C6"/>
    <w:rsid w:val="00D22B5C"/>
    <w:rsid w:val="00D23238"/>
    <w:rsid w:val="00D235A5"/>
    <w:rsid w:val="00D253B7"/>
    <w:rsid w:val="00D25B87"/>
    <w:rsid w:val="00D26A8F"/>
    <w:rsid w:val="00D26CBE"/>
    <w:rsid w:val="00D270F2"/>
    <w:rsid w:val="00D277A2"/>
    <w:rsid w:val="00D27A52"/>
    <w:rsid w:val="00D27BAE"/>
    <w:rsid w:val="00D30358"/>
    <w:rsid w:val="00D33828"/>
    <w:rsid w:val="00D342C6"/>
    <w:rsid w:val="00D349A7"/>
    <w:rsid w:val="00D3507B"/>
    <w:rsid w:val="00D35220"/>
    <w:rsid w:val="00D37EE3"/>
    <w:rsid w:val="00D40066"/>
    <w:rsid w:val="00D4083B"/>
    <w:rsid w:val="00D41156"/>
    <w:rsid w:val="00D41237"/>
    <w:rsid w:val="00D41691"/>
    <w:rsid w:val="00D41F8C"/>
    <w:rsid w:val="00D42036"/>
    <w:rsid w:val="00D4274F"/>
    <w:rsid w:val="00D43119"/>
    <w:rsid w:val="00D43BDC"/>
    <w:rsid w:val="00D45463"/>
    <w:rsid w:val="00D47944"/>
    <w:rsid w:val="00D50366"/>
    <w:rsid w:val="00D505DC"/>
    <w:rsid w:val="00D5076E"/>
    <w:rsid w:val="00D51973"/>
    <w:rsid w:val="00D54623"/>
    <w:rsid w:val="00D55CA4"/>
    <w:rsid w:val="00D56DB4"/>
    <w:rsid w:val="00D603B8"/>
    <w:rsid w:val="00D62F90"/>
    <w:rsid w:val="00D6389A"/>
    <w:rsid w:val="00D6399A"/>
    <w:rsid w:val="00D64893"/>
    <w:rsid w:val="00D67DF6"/>
    <w:rsid w:val="00D7064A"/>
    <w:rsid w:val="00D70792"/>
    <w:rsid w:val="00D70B97"/>
    <w:rsid w:val="00D7110C"/>
    <w:rsid w:val="00D71C66"/>
    <w:rsid w:val="00D72989"/>
    <w:rsid w:val="00D736BC"/>
    <w:rsid w:val="00D73C1D"/>
    <w:rsid w:val="00D752A4"/>
    <w:rsid w:val="00D76A2B"/>
    <w:rsid w:val="00D76A38"/>
    <w:rsid w:val="00D773C9"/>
    <w:rsid w:val="00D77686"/>
    <w:rsid w:val="00D81FAA"/>
    <w:rsid w:val="00D83EF0"/>
    <w:rsid w:val="00D85A21"/>
    <w:rsid w:val="00D86DFC"/>
    <w:rsid w:val="00D87AC5"/>
    <w:rsid w:val="00D907A4"/>
    <w:rsid w:val="00D91AB2"/>
    <w:rsid w:val="00D920BA"/>
    <w:rsid w:val="00D924B6"/>
    <w:rsid w:val="00D9272E"/>
    <w:rsid w:val="00D9431D"/>
    <w:rsid w:val="00D94A47"/>
    <w:rsid w:val="00DA0E51"/>
    <w:rsid w:val="00DA3C1C"/>
    <w:rsid w:val="00DA3EC0"/>
    <w:rsid w:val="00DA4143"/>
    <w:rsid w:val="00DA4E15"/>
    <w:rsid w:val="00DA56C2"/>
    <w:rsid w:val="00DA7F78"/>
    <w:rsid w:val="00DB0D82"/>
    <w:rsid w:val="00DB2DA0"/>
    <w:rsid w:val="00DB3EB4"/>
    <w:rsid w:val="00DB41C4"/>
    <w:rsid w:val="00DB4DBA"/>
    <w:rsid w:val="00DB4DD4"/>
    <w:rsid w:val="00DB64ED"/>
    <w:rsid w:val="00DC1C7A"/>
    <w:rsid w:val="00DC2E7E"/>
    <w:rsid w:val="00DC2F4F"/>
    <w:rsid w:val="00DC35B7"/>
    <w:rsid w:val="00DC78E7"/>
    <w:rsid w:val="00DD215F"/>
    <w:rsid w:val="00DD2602"/>
    <w:rsid w:val="00DD4284"/>
    <w:rsid w:val="00DD5151"/>
    <w:rsid w:val="00DD6822"/>
    <w:rsid w:val="00DD69E2"/>
    <w:rsid w:val="00DE12F4"/>
    <w:rsid w:val="00DE2108"/>
    <w:rsid w:val="00DE2D3F"/>
    <w:rsid w:val="00DE382B"/>
    <w:rsid w:val="00DE3CF1"/>
    <w:rsid w:val="00DE4063"/>
    <w:rsid w:val="00DE46AC"/>
    <w:rsid w:val="00DE48B0"/>
    <w:rsid w:val="00DE61D2"/>
    <w:rsid w:val="00DE752B"/>
    <w:rsid w:val="00DE7667"/>
    <w:rsid w:val="00DF1FC1"/>
    <w:rsid w:val="00DF3D97"/>
    <w:rsid w:val="00DF3D9F"/>
    <w:rsid w:val="00DF412B"/>
    <w:rsid w:val="00DF55B2"/>
    <w:rsid w:val="00DF631A"/>
    <w:rsid w:val="00DF7835"/>
    <w:rsid w:val="00DF7976"/>
    <w:rsid w:val="00DF7B55"/>
    <w:rsid w:val="00E01391"/>
    <w:rsid w:val="00E0308D"/>
    <w:rsid w:val="00E03607"/>
    <w:rsid w:val="00E04DD2"/>
    <w:rsid w:val="00E07916"/>
    <w:rsid w:val="00E102EB"/>
    <w:rsid w:val="00E12865"/>
    <w:rsid w:val="00E13D46"/>
    <w:rsid w:val="00E1670A"/>
    <w:rsid w:val="00E21DD0"/>
    <w:rsid w:val="00E22F22"/>
    <w:rsid w:val="00E251AA"/>
    <w:rsid w:val="00E252D6"/>
    <w:rsid w:val="00E2567C"/>
    <w:rsid w:val="00E25D62"/>
    <w:rsid w:val="00E27F5C"/>
    <w:rsid w:val="00E31109"/>
    <w:rsid w:val="00E32CEB"/>
    <w:rsid w:val="00E34DD3"/>
    <w:rsid w:val="00E352EE"/>
    <w:rsid w:val="00E3792C"/>
    <w:rsid w:val="00E4012D"/>
    <w:rsid w:val="00E41591"/>
    <w:rsid w:val="00E41D3D"/>
    <w:rsid w:val="00E4242C"/>
    <w:rsid w:val="00E4582F"/>
    <w:rsid w:val="00E45938"/>
    <w:rsid w:val="00E462DA"/>
    <w:rsid w:val="00E4642F"/>
    <w:rsid w:val="00E4684B"/>
    <w:rsid w:val="00E50CA6"/>
    <w:rsid w:val="00E523C2"/>
    <w:rsid w:val="00E553C0"/>
    <w:rsid w:val="00E554DC"/>
    <w:rsid w:val="00E55707"/>
    <w:rsid w:val="00E56BD0"/>
    <w:rsid w:val="00E56C31"/>
    <w:rsid w:val="00E56FC4"/>
    <w:rsid w:val="00E57029"/>
    <w:rsid w:val="00E6426E"/>
    <w:rsid w:val="00E64814"/>
    <w:rsid w:val="00E66613"/>
    <w:rsid w:val="00E72681"/>
    <w:rsid w:val="00E73F41"/>
    <w:rsid w:val="00E74BFC"/>
    <w:rsid w:val="00E75A5F"/>
    <w:rsid w:val="00E766A2"/>
    <w:rsid w:val="00E76A43"/>
    <w:rsid w:val="00E76CAA"/>
    <w:rsid w:val="00E81168"/>
    <w:rsid w:val="00E811C6"/>
    <w:rsid w:val="00E81B80"/>
    <w:rsid w:val="00E82007"/>
    <w:rsid w:val="00E82BAF"/>
    <w:rsid w:val="00E82BB3"/>
    <w:rsid w:val="00E82C80"/>
    <w:rsid w:val="00E83296"/>
    <w:rsid w:val="00E8366E"/>
    <w:rsid w:val="00E85F36"/>
    <w:rsid w:val="00E8688A"/>
    <w:rsid w:val="00E90661"/>
    <w:rsid w:val="00E90A9C"/>
    <w:rsid w:val="00E92445"/>
    <w:rsid w:val="00E929D3"/>
    <w:rsid w:val="00E936ED"/>
    <w:rsid w:val="00E939F6"/>
    <w:rsid w:val="00E963AC"/>
    <w:rsid w:val="00E97636"/>
    <w:rsid w:val="00E97FD4"/>
    <w:rsid w:val="00EA12D6"/>
    <w:rsid w:val="00EA1717"/>
    <w:rsid w:val="00EA22A5"/>
    <w:rsid w:val="00EA2AFE"/>
    <w:rsid w:val="00EA43DF"/>
    <w:rsid w:val="00EA5D8D"/>
    <w:rsid w:val="00EB15E4"/>
    <w:rsid w:val="00EB3F2D"/>
    <w:rsid w:val="00EB4B7A"/>
    <w:rsid w:val="00EB4CE3"/>
    <w:rsid w:val="00EC0354"/>
    <w:rsid w:val="00EC3A6C"/>
    <w:rsid w:val="00EC4C8B"/>
    <w:rsid w:val="00EC642A"/>
    <w:rsid w:val="00EC76E4"/>
    <w:rsid w:val="00ED05DD"/>
    <w:rsid w:val="00ED2309"/>
    <w:rsid w:val="00ED35AD"/>
    <w:rsid w:val="00ED35EE"/>
    <w:rsid w:val="00ED57F2"/>
    <w:rsid w:val="00ED77AD"/>
    <w:rsid w:val="00EE13D1"/>
    <w:rsid w:val="00EE2183"/>
    <w:rsid w:val="00EE25EB"/>
    <w:rsid w:val="00EE344B"/>
    <w:rsid w:val="00EE4D46"/>
    <w:rsid w:val="00EE6EC8"/>
    <w:rsid w:val="00EE7544"/>
    <w:rsid w:val="00EE770D"/>
    <w:rsid w:val="00EE77E9"/>
    <w:rsid w:val="00EF002E"/>
    <w:rsid w:val="00EF0142"/>
    <w:rsid w:val="00EF0846"/>
    <w:rsid w:val="00EF0A0A"/>
    <w:rsid w:val="00EF2211"/>
    <w:rsid w:val="00EF3410"/>
    <w:rsid w:val="00EF4F00"/>
    <w:rsid w:val="00EF5391"/>
    <w:rsid w:val="00EF6266"/>
    <w:rsid w:val="00EF68A5"/>
    <w:rsid w:val="00EF7D0C"/>
    <w:rsid w:val="00F006F0"/>
    <w:rsid w:val="00F00AE0"/>
    <w:rsid w:val="00F02C4A"/>
    <w:rsid w:val="00F03A8F"/>
    <w:rsid w:val="00F03B20"/>
    <w:rsid w:val="00F04359"/>
    <w:rsid w:val="00F04DEA"/>
    <w:rsid w:val="00F05178"/>
    <w:rsid w:val="00F05B66"/>
    <w:rsid w:val="00F0625A"/>
    <w:rsid w:val="00F063B3"/>
    <w:rsid w:val="00F07D3C"/>
    <w:rsid w:val="00F1149D"/>
    <w:rsid w:val="00F11543"/>
    <w:rsid w:val="00F1174B"/>
    <w:rsid w:val="00F13569"/>
    <w:rsid w:val="00F147C8"/>
    <w:rsid w:val="00F15D71"/>
    <w:rsid w:val="00F17855"/>
    <w:rsid w:val="00F20013"/>
    <w:rsid w:val="00F21CB8"/>
    <w:rsid w:val="00F22B2D"/>
    <w:rsid w:val="00F22DAD"/>
    <w:rsid w:val="00F23FC2"/>
    <w:rsid w:val="00F24306"/>
    <w:rsid w:val="00F247CE"/>
    <w:rsid w:val="00F25D8E"/>
    <w:rsid w:val="00F25EA6"/>
    <w:rsid w:val="00F26835"/>
    <w:rsid w:val="00F307FA"/>
    <w:rsid w:val="00F311FC"/>
    <w:rsid w:val="00F31CCB"/>
    <w:rsid w:val="00F3228B"/>
    <w:rsid w:val="00F32447"/>
    <w:rsid w:val="00F3452B"/>
    <w:rsid w:val="00F36696"/>
    <w:rsid w:val="00F36EC6"/>
    <w:rsid w:val="00F378D0"/>
    <w:rsid w:val="00F4230E"/>
    <w:rsid w:val="00F43288"/>
    <w:rsid w:val="00F4586E"/>
    <w:rsid w:val="00F46AE8"/>
    <w:rsid w:val="00F4747B"/>
    <w:rsid w:val="00F5107D"/>
    <w:rsid w:val="00F51A85"/>
    <w:rsid w:val="00F52321"/>
    <w:rsid w:val="00F52FBB"/>
    <w:rsid w:val="00F53266"/>
    <w:rsid w:val="00F539E3"/>
    <w:rsid w:val="00F54530"/>
    <w:rsid w:val="00F5477F"/>
    <w:rsid w:val="00F565B6"/>
    <w:rsid w:val="00F60268"/>
    <w:rsid w:val="00F6083F"/>
    <w:rsid w:val="00F617F3"/>
    <w:rsid w:val="00F6353F"/>
    <w:rsid w:val="00F63C7E"/>
    <w:rsid w:val="00F64052"/>
    <w:rsid w:val="00F65902"/>
    <w:rsid w:val="00F65B89"/>
    <w:rsid w:val="00F7054C"/>
    <w:rsid w:val="00F70576"/>
    <w:rsid w:val="00F7070F"/>
    <w:rsid w:val="00F70B3A"/>
    <w:rsid w:val="00F716E1"/>
    <w:rsid w:val="00F71D16"/>
    <w:rsid w:val="00F73606"/>
    <w:rsid w:val="00F73AF2"/>
    <w:rsid w:val="00F73FB2"/>
    <w:rsid w:val="00F74228"/>
    <w:rsid w:val="00F75133"/>
    <w:rsid w:val="00F76278"/>
    <w:rsid w:val="00F76983"/>
    <w:rsid w:val="00F7729B"/>
    <w:rsid w:val="00F81B44"/>
    <w:rsid w:val="00F83008"/>
    <w:rsid w:val="00F83649"/>
    <w:rsid w:val="00F83818"/>
    <w:rsid w:val="00F84ED9"/>
    <w:rsid w:val="00F85547"/>
    <w:rsid w:val="00F85ACC"/>
    <w:rsid w:val="00F85CC8"/>
    <w:rsid w:val="00F8678B"/>
    <w:rsid w:val="00F9229C"/>
    <w:rsid w:val="00F92CFF"/>
    <w:rsid w:val="00F93F16"/>
    <w:rsid w:val="00F9438E"/>
    <w:rsid w:val="00F94B3D"/>
    <w:rsid w:val="00F94C15"/>
    <w:rsid w:val="00F94F3C"/>
    <w:rsid w:val="00F954DE"/>
    <w:rsid w:val="00F97718"/>
    <w:rsid w:val="00FA0A2E"/>
    <w:rsid w:val="00FA0E80"/>
    <w:rsid w:val="00FA16CF"/>
    <w:rsid w:val="00FA2E81"/>
    <w:rsid w:val="00FA2E9B"/>
    <w:rsid w:val="00FA4BD6"/>
    <w:rsid w:val="00FA4D8A"/>
    <w:rsid w:val="00FA580F"/>
    <w:rsid w:val="00FA6094"/>
    <w:rsid w:val="00FA72D5"/>
    <w:rsid w:val="00FB0A32"/>
    <w:rsid w:val="00FB3FB5"/>
    <w:rsid w:val="00FB697C"/>
    <w:rsid w:val="00FB6A0B"/>
    <w:rsid w:val="00FB76F4"/>
    <w:rsid w:val="00FB7B55"/>
    <w:rsid w:val="00FC1633"/>
    <w:rsid w:val="00FC18BF"/>
    <w:rsid w:val="00FC2075"/>
    <w:rsid w:val="00FC35C5"/>
    <w:rsid w:val="00FC378E"/>
    <w:rsid w:val="00FC3AD7"/>
    <w:rsid w:val="00FC3F02"/>
    <w:rsid w:val="00FC6B99"/>
    <w:rsid w:val="00FC7CEB"/>
    <w:rsid w:val="00FC7CFE"/>
    <w:rsid w:val="00FD0D04"/>
    <w:rsid w:val="00FD124E"/>
    <w:rsid w:val="00FD12E8"/>
    <w:rsid w:val="00FD14B6"/>
    <w:rsid w:val="00FD52F9"/>
    <w:rsid w:val="00FE0309"/>
    <w:rsid w:val="00FE247C"/>
    <w:rsid w:val="00FE2701"/>
    <w:rsid w:val="00FE2738"/>
    <w:rsid w:val="00FE2B58"/>
    <w:rsid w:val="00FE598A"/>
    <w:rsid w:val="00FE5B19"/>
    <w:rsid w:val="00FE5FA2"/>
    <w:rsid w:val="00FE6404"/>
    <w:rsid w:val="00FE77B4"/>
    <w:rsid w:val="00FF2860"/>
    <w:rsid w:val="00FF2F9D"/>
    <w:rsid w:val="00FF39B2"/>
    <w:rsid w:val="00FF401C"/>
    <w:rsid w:val="00FF4315"/>
    <w:rsid w:val="00FF4625"/>
    <w:rsid w:val="00FF4A88"/>
    <w:rsid w:val="00FF4C97"/>
    <w:rsid w:val="00FF5B03"/>
    <w:rsid w:val="00FF6030"/>
    <w:rsid w:val="00FF648E"/>
    <w:rsid w:val="00FF6A74"/>
    <w:rsid w:val="00FF77F8"/>
    <w:rsid w:val="019CF168"/>
    <w:rsid w:val="01BCF0B0"/>
    <w:rsid w:val="01EFB7E9"/>
    <w:rsid w:val="01F281F2"/>
    <w:rsid w:val="02C0F1BF"/>
    <w:rsid w:val="034C18E2"/>
    <w:rsid w:val="03736841"/>
    <w:rsid w:val="037561B2"/>
    <w:rsid w:val="0390104B"/>
    <w:rsid w:val="0428A679"/>
    <w:rsid w:val="04723276"/>
    <w:rsid w:val="04F0F999"/>
    <w:rsid w:val="0561CD71"/>
    <w:rsid w:val="0565BC3C"/>
    <w:rsid w:val="0687F650"/>
    <w:rsid w:val="07107E1E"/>
    <w:rsid w:val="07893276"/>
    <w:rsid w:val="07DB9364"/>
    <w:rsid w:val="08C464B2"/>
    <w:rsid w:val="09056926"/>
    <w:rsid w:val="09B462E9"/>
    <w:rsid w:val="09BDF585"/>
    <w:rsid w:val="09C4AA27"/>
    <w:rsid w:val="0A21329F"/>
    <w:rsid w:val="0ACFCF05"/>
    <w:rsid w:val="0AD22D42"/>
    <w:rsid w:val="0AE8B375"/>
    <w:rsid w:val="0AF73A55"/>
    <w:rsid w:val="0B17D30F"/>
    <w:rsid w:val="0B21AEAE"/>
    <w:rsid w:val="0B301C57"/>
    <w:rsid w:val="0B8CECC7"/>
    <w:rsid w:val="0C627545"/>
    <w:rsid w:val="0C88D3A3"/>
    <w:rsid w:val="0CD7283A"/>
    <w:rsid w:val="0CDE7386"/>
    <w:rsid w:val="0DE45349"/>
    <w:rsid w:val="0DEEFE21"/>
    <w:rsid w:val="0E4EFFE8"/>
    <w:rsid w:val="0E58343F"/>
    <w:rsid w:val="0E7D180D"/>
    <w:rsid w:val="0E83EA45"/>
    <w:rsid w:val="0FC0267C"/>
    <w:rsid w:val="10405616"/>
    <w:rsid w:val="11ED2D93"/>
    <w:rsid w:val="120A8019"/>
    <w:rsid w:val="12444516"/>
    <w:rsid w:val="13603B46"/>
    <w:rsid w:val="13EFA32B"/>
    <w:rsid w:val="1405D51D"/>
    <w:rsid w:val="1415EFD5"/>
    <w:rsid w:val="14A6EDFB"/>
    <w:rsid w:val="150CD233"/>
    <w:rsid w:val="15C3CEB8"/>
    <w:rsid w:val="1630DE1E"/>
    <w:rsid w:val="16A70E0B"/>
    <w:rsid w:val="16E44D6E"/>
    <w:rsid w:val="17115AD6"/>
    <w:rsid w:val="174620F6"/>
    <w:rsid w:val="175F16ED"/>
    <w:rsid w:val="1764483F"/>
    <w:rsid w:val="178484DA"/>
    <w:rsid w:val="179927CE"/>
    <w:rsid w:val="17A93363"/>
    <w:rsid w:val="17D89CE4"/>
    <w:rsid w:val="17FAD66A"/>
    <w:rsid w:val="17FE3DBD"/>
    <w:rsid w:val="18C5726E"/>
    <w:rsid w:val="1983291C"/>
    <w:rsid w:val="1A752311"/>
    <w:rsid w:val="1A7DAF30"/>
    <w:rsid w:val="1ABE2AB1"/>
    <w:rsid w:val="1AC82D7C"/>
    <w:rsid w:val="1B3C24A1"/>
    <w:rsid w:val="1B854CCB"/>
    <w:rsid w:val="1BD70D52"/>
    <w:rsid w:val="1C0AD6A0"/>
    <w:rsid w:val="1CA5B85E"/>
    <w:rsid w:val="1CC639A5"/>
    <w:rsid w:val="1CF77A61"/>
    <w:rsid w:val="1CF83E06"/>
    <w:rsid w:val="1DC1C571"/>
    <w:rsid w:val="1E0EF3D8"/>
    <w:rsid w:val="1F2A1EED"/>
    <w:rsid w:val="1F5B3418"/>
    <w:rsid w:val="1FC5CD98"/>
    <w:rsid w:val="1FF46430"/>
    <w:rsid w:val="208DA10F"/>
    <w:rsid w:val="2091BD18"/>
    <w:rsid w:val="21465D2A"/>
    <w:rsid w:val="2157F9BF"/>
    <w:rsid w:val="21761D47"/>
    <w:rsid w:val="21BEAD01"/>
    <w:rsid w:val="21CA24DA"/>
    <w:rsid w:val="2219174E"/>
    <w:rsid w:val="2227685C"/>
    <w:rsid w:val="228BD4F2"/>
    <w:rsid w:val="22B5B3F6"/>
    <w:rsid w:val="237638BC"/>
    <w:rsid w:val="23DD9FDE"/>
    <w:rsid w:val="246291C6"/>
    <w:rsid w:val="24947ABB"/>
    <w:rsid w:val="2506DF7C"/>
    <w:rsid w:val="25B5700C"/>
    <w:rsid w:val="25B8E0AA"/>
    <w:rsid w:val="25BA8B0B"/>
    <w:rsid w:val="25CA15A8"/>
    <w:rsid w:val="25D50957"/>
    <w:rsid w:val="25D78F69"/>
    <w:rsid w:val="26174D94"/>
    <w:rsid w:val="2620C0A0"/>
    <w:rsid w:val="267451FE"/>
    <w:rsid w:val="2699AAB6"/>
    <w:rsid w:val="26A1E196"/>
    <w:rsid w:val="2792AF25"/>
    <w:rsid w:val="27B0845F"/>
    <w:rsid w:val="281AFE15"/>
    <w:rsid w:val="2861DB05"/>
    <w:rsid w:val="28733963"/>
    <w:rsid w:val="28D8B026"/>
    <w:rsid w:val="29442F78"/>
    <w:rsid w:val="29494C6B"/>
    <w:rsid w:val="294CDF1B"/>
    <w:rsid w:val="296AA8EE"/>
    <w:rsid w:val="29E2B577"/>
    <w:rsid w:val="2AEF0F6D"/>
    <w:rsid w:val="2AF7DC6C"/>
    <w:rsid w:val="2B093257"/>
    <w:rsid w:val="2C2734DD"/>
    <w:rsid w:val="2CA6346B"/>
    <w:rsid w:val="2D54A0F4"/>
    <w:rsid w:val="2DD4FAF6"/>
    <w:rsid w:val="2DEE4DC2"/>
    <w:rsid w:val="2E1A08A1"/>
    <w:rsid w:val="2E4B3206"/>
    <w:rsid w:val="2F79DAA2"/>
    <w:rsid w:val="30D6101D"/>
    <w:rsid w:val="3336CA0F"/>
    <w:rsid w:val="334CA326"/>
    <w:rsid w:val="336F8948"/>
    <w:rsid w:val="33A239C7"/>
    <w:rsid w:val="33E103B7"/>
    <w:rsid w:val="343827A7"/>
    <w:rsid w:val="3468F066"/>
    <w:rsid w:val="34DEA9D6"/>
    <w:rsid w:val="35282049"/>
    <w:rsid w:val="353278B1"/>
    <w:rsid w:val="35363C95"/>
    <w:rsid w:val="35AAC476"/>
    <w:rsid w:val="35DA61BA"/>
    <w:rsid w:val="35DDF564"/>
    <w:rsid w:val="362EE959"/>
    <w:rsid w:val="364291D7"/>
    <w:rsid w:val="36654DD0"/>
    <w:rsid w:val="369464CC"/>
    <w:rsid w:val="373F6A81"/>
    <w:rsid w:val="378FDD2B"/>
    <w:rsid w:val="37A42290"/>
    <w:rsid w:val="3849C6AE"/>
    <w:rsid w:val="387DDDB2"/>
    <w:rsid w:val="396C9C5C"/>
    <w:rsid w:val="399C570B"/>
    <w:rsid w:val="3A05C063"/>
    <w:rsid w:val="3A1B5FC7"/>
    <w:rsid w:val="3A2BF481"/>
    <w:rsid w:val="3AE08777"/>
    <w:rsid w:val="3AE47764"/>
    <w:rsid w:val="3AF16C60"/>
    <w:rsid w:val="3C0BD05A"/>
    <w:rsid w:val="3C924D4B"/>
    <w:rsid w:val="3C9EA9E0"/>
    <w:rsid w:val="3DFB5BD0"/>
    <w:rsid w:val="3E3A6502"/>
    <w:rsid w:val="3E3ED54B"/>
    <w:rsid w:val="3E42AE3A"/>
    <w:rsid w:val="3E970932"/>
    <w:rsid w:val="3FD442C5"/>
    <w:rsid w:val="40110D15"/>
    <w:rsid w:val="402EFE50"/>
    <w:rsid w:val="40E67496"/>
    <w:rsid w:val="410755EF"/>
    <w:rsid w:val="418793DD"/>
    <w:rsid w:val="41DC4761"/>
    <w:rsid w:val="421A4AA0"/>
    <w:rsid w:val="4251DC7E"/>
    <w:rsid w:val="42AFE30F"/>
    <w:rsid w:val="42D6EB24"/>
    <w:rsid w:val="43E2B3E7"/>
    <w:rsid w:val="44688582"/>
    <w:rsid w:val="44B98F66"/>
    <w:rsid w:val="44C45100"/>
    <w:rsid w:val="4521742D"/>
    <w:rsid w:val="4526BA81"/>
    <w:rsid w:val="4588A6DF"/>
    <w:rsid w:val="45DDDD97"/>
    <w:rsid w:val="464E58C8"/>
    <w:rsid w:val="4660FB79"/>
    <w:rsid w:val="46711154"/>
    <w:rsid w:val="46AAE69A"/>
    <w:rsid w:val="471C4907"/>
    <w:rsid w:val="478CA48E"/>
    <w:rsid w:val="4939BFE2"/>
    <w:rsid w:val="494BCFA9"/>
    <w:rsid w:val="49872120"/>
    <w:rsid w:val="49D94C2A"/>
    <w:rsid w:val="4A216872"/>
    <w:rsid w:val="4AC6DBE9"/>
    <w:rsid w:val="4B19E337"/>
    <w:rsid w:val="4B2E8997"/>
    <w:rsid w:val="4B882172"/>
    <w:rsid w:val="4BC60F0C"/>
    <w:rsid w:val="4C17C3F8"/>
    <w:rsid w:val="4C241C05"/>
    <w:rsid w:val="4C7B20E9"/>
    <w:rsid w:val="4C86005E"/>
    <w:rsid w:val="4C917B9B"/>
    <w:rsid w:val="4C93B3ED"/>
    <w:rsid w:val="4CD4C0D5"/>
    <w:rsid w:val="4D0F747C"/>
    <w:rsid w:val="4DA6C2A5"/>
    <w:rsid w:val="4DFC0639"/>
    <w:rsid w:val="4E62FFA2"/>
    <w:rsid w:val="4E78241D"/>
    <w:rsid w:val="4EE22785"/>
    <w:rsid w:val="4F8627BC"/>
    <w:rsid w:val="4FEE2979"/>
    <w:rsid w:val="50396938"/>
    <w:rsid w:val="50988CA4"/>
    <w:rsid w:val="50E35045"/>
    <w:rsid w:val="513D6190"/>
    <w:rsid w:val="517CCA42"/>
    <w:rsid w:val="51FA6DB1"/>
    <w:rsid w:val="5205FE5F"/>
    <w:rsid w:val="522687A0"/>
    <w:rsid w:val="5247BCF2"/>
    <w:rsid w:val="528A1EF2"/>
    <w:rsid w:val="52D80DBE"/>
    <w:rsid w:val="530E3DD1"/>
    <w:rsid w:val="538AC2B8"/>
    <w:rsid w:val="5459F2C5"/>
    <w:rsid w:val="5469FF67"/>
    <w:rsid w:val="54FD707A"/>
    <w:rsid w:val="551CD4CC"/>
    <w:rsid w:val="5597C97C"/>
    <w:rsid w:val="55FF4332"/>
    <w:rsid w:val="56179033"/>
    <w:rsid w:val="563D0150"/>
    <w:rsid w:val="5655C7D2"/>
    <w:rsid w:val="56625492"/>
    <w:rsid w:val="56AF06C2"/>
    <w:rsid w:val="570A8491"/>
    <w:rsid w:val="5739A442"/>
    <w:rsid w:val="5763D913"/>
    <w:rsid w:val="57A1CF19"/>
    <w:rsid w:val="58F653BA"/>
    <w:rsid w:val="591D9570"/>
    <w:rsid w:val="5945ACE3"/>
    <w:rsid w:val="599CD280"/>
    <w:rsid w:val="59DAB166"/>
    <w:rsid w:val="59E16D70"/>
    <w:rsid w:val="5A7044DF"/>
    <w:rsid w:val="5A8E975C"/>
    <w:rsid w:val="5B06ED05"/>
    <w:rsid w:val="5BE6DD8F"/>
    <w:rsid w:val="5CA8694A"/>
    <w:rsid w:val="5CE4756A"/>
    <w:rsid w:val="5D471DDC"/>
    <w:rsid w:val="5DAC2141"/>
    <w:rsid w:val="5E655F80"/>
    <w:rsid w:val="5E763BB5"/>
    <w:rsid w:val="5E93645A"/>
    <w:rsid w:val="5E9F1B8A"/>
    <w:rsid w:val="5EB56F33"/>
    <w:rsid w:val="5EBA853D"/>
    <w:rsid w:val="5FC6B5B9"/>
    <w:rsid w:val="600FD371"/>
    <w:rsid w:val="6039C82D"/>
    <w:rsid w:val="60AF0142"/>
    <w:rsid w:val="610CA56F"/>
    <w:rsid w:val="61614D61"/>
    <w:rsid w:val="62113B89"/>
    <w:rsid w:val="62AFDFF2"/>
    <w:rsid w:val="62E6F3AD"/>
    <w:rsid w:val="633499CE"/>
    <w:rsid w:val="637314B6"/>
    <w:rsid w:val="63C89DCE"/>
    <w:rsid w:val="64D80494"/>
    <w:rsid w:val="64DE6A6A"/>
    <w:rsid w:val="65280318"/>
    <w:rsid w:val="6558E9D7"/>
    <w:rsid w:val="65701CE3"/>
    <w:rsid w:val="660839EF"/>
    <w:rsid w:val="6612AA15"/>
    <w:rsid w:val="6618C548"/>
    <w:rsid w:val="66B54B15"/>
    <w:rsid w:val="66B56640"/>
    <w:rsid w:val="66BEF3A6"/>
    <w:rsid w:val="66CCA74E"/>
    <w:rsid w:val="66D27A38"/>
    <w:rsid w:val="67677923"/>
    <w:rsid w:val="683C6971"/>
    <w:rsid w:val="68D3BD3A"/>
    <w:rsid w:val="68F5AF4E"/>
    <w:rsid w:val="691E7F8E"/>
    <w:rsid w:val="6957733E"/>
    <w:rsid w:val="69ADAC05"/>
    <w:rsid w:val="6A203043"/>
    <w:rsid w:val="6A3BCA16"/>
    <w:rsid w:val="6ADF18FC"/>
    <w:rsid w:val="6AE66850"/>
    <w:rsid w:val="6B1FB836"/>
    <w:rsid w:val="6B44A1D1"/>
    <w:rsid w:val="6BF5393A"/>
    <w:rsid w:val="6C6967B7"/>
    <w:rsid w:val="6C839F1A"/>
    <w:rsid w:val="6D1D8010"/>
    <w:rsid w:val="6DB4497D"/>
    <w:rsid w:val="6EBC2B0A"/>
    <w:rsid w:val="6F2C4ECE"/>
    <w:rsid w:val="700C6959"/>
    <w:rsid w:val="7072A2BA"/>
    <w:rsid w:val="708FE521"/>
    <w:rsid w:val="70ABC39C"/>
    <w:rsid w:val="70E93F3C"/>
    <w:rsid w:val="70FB73FC"/>
    <w:rsid w:val="7109DCDE"/>
    <w:rsid w:val="7207176A"/>
    <w:rsid w:val="72113C58"/>
    <w:rsid w:val="722C425F"/>
    <w:rsid w:val="7321D41F"/>
    <w:rsid w:val="734714A2"/>
    <w:rsid w:val="73AB1907"/>
    <w:rsid w:val="740D6D08"/>
    <w:rsid w:val="746B6463"/>
    <w:rsid w:val="747B9846"/>
    <w:rsid w:val="754BB0F6"/>
    <w:rsid w:val="758E481F"/>
    <w:rsid w:val="75B9ADC8"/>
    <w:rsid w:val="76660991"/>
    <w:rsid w:val="76A04027"/>
    <w:rsid w:val="7730C161"/>
    <w:rsid w:val="774563AC"/>
    <w:rsid w:val="77851F5F"/>
    <w:rsid w:val="77B21083"/>
    <w:rsid w:val="77D193CA"/>
    <w:rsid w:val="786781E9"/>
    <w:rsid w:val="78834CA5"/>
    <w:rsid w:val="78B815E5"/>
    <w:rsid w:val="78EF3C0F"/>
    <w:rsid w:val="7943C04C"/>
    <w:rsid w:val="7A24ED90"/>
    <w:rsid w:val="7A4F19EC"/>
    <w:rsid w:val="7ABD9E3E"/>
    <w:rsid w:val="7ACC96C5"/>
    <w:rsid w:val="7B80D3F9"/>
    <w:rsid w:val="7BB4169C"/>
    <w:rsid w:val="7C1B9E69"/>
    <w:rsid w:val="7C1C2173"/>
    <w:rsid w:val="7C733AC5"/>
    <w:rsid w:val="7CE40289"/>
    <w:rsid w:val="7CE4EE27"/>
    <w:rsid w:val="7D23A4BF"/>
    <w:rsid w:val="7D30913C"/>
    <w:rsid w:val="7E319E50"/>
    <w:rsid w:val="7E5BD576"/>
    <w:rsid w:val="7E69E783"/>
    <w:rsid w:val="7EB286B9"/>
    <w:rsid w:val="7ED80736"/>
    <w:rsid w:val="7EF3D67C"/>
    <w:rsid w:val="7F230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E7B98"/>
  <w15:docId w15:val="{11C3AF56-2E3E-4D71-9AD9-76A505A8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7E"/>
  </w:style>
  <w:style w:type="paragraph" w:styleId="Heading1">
    <w:name w:val="heading 1"/>
    <w:basedOn w:val="Normal"/>
    <w:next w:val="Normal"/>
    <w:link w:val="Heading1Char"/>
    <w:uiPriority w:val="9"/>
    <w:qFormat/>
    <w:rsid w:val="00AB0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5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4F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57B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237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D35A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56AD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F3CE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0F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0F4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B0F4C"/>
    <w:pPr>
      <w:ind w:left="720"/>
      <w:contextualSpacing/>
    </w:pPr>
  </w:style>
  <w:style w:type="paragraph" w:styleId="Header">
    <w:name w:val="header"/>
    <w:basedOn w:val="Normal"/>
    <w:link w:val="HeaderChar"/>
    <w:uiPriority w:val="99"/>
    <w:unhideWhenUsed/>
    <w:rsid w:val="00726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2DE"/>
  </w:style>
  <w:style w:type="paragraph" w:styleId="Footer">
    <w:name w:val="footer"/>
    <w:basedOn w:val="Normal"/>
    <w:link w:val="FooterChar"/>
    <w:uiPriority w:val="99"/>
    <w:unhideWhenUsed/>
    <w:rsid w:val="00726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2DE"/>
  </w:style>
  <w:style w:type="paragraph" w:styleId="FootnoteText">
    <w:name w:val="footnote text"/>
    <w:basedOn w:val="Normal"/>
    <w:link w:val="FootnoteTextChar"/>
    <w:uiPriority w:val="99"/>
    <w:unhideWhenUsed/>
    <w:rsid w:val="007262DE"/>
    <w:pPr>
      <w:spacing w:after="0" w:line="240" w:lineRule="auto"/>
    </w:pPr>
    <w:rPr>
      <w:sz w:val="20"/>
      <w:szCs w:val="20"/>
    </w:rPr>
  </w:style>
  <w:style w:type="character" w:customStyle="1" w:styleId="FootnoteTextChar">
    <w:name w:val="Footnote Text Char"/>
    <w:basedOn w:val="DefaultParagraphFont"/>
    <w:link w:val="FootnoteText"/>
    <w:uiPriority w:val="99"/>
    <w:rsid w:val="007262DE"/>
    <w:rPr>
      <w:sz w:val="20"/>
      <w:szCs w:val="20"/>
    </w:rPr>
  </w:style>
  <w:style w:type="character" w:styleId="FootnoteReference">
    <w:name w:val="footnote reference"/>
    <w:basedOn w:val="DefaultParagraphFont"/>
    <w:uiPriority w:val="99"/>
    <w:semiHidden/>
    <w:unhideWhenUsed/>
    <w:rsid w:val="007262DE"/>
    <w:rPr>
      <w:vertAlign w:val="superscript"/>
    </w:rPr>
  </w:style>
  <w:style w:type="character" w:styleId="Hyperlink">
    <w:name w:val="Hyperlink"/>
    <w:basedOn w:val="DefaultParagraphFont"/>
    <w:uiPriority w:val="99"/>
    <w:unhideWhenUsed/>
    <w:rsid w:val="009364FB"/>
    <w:rPr>
      <w:color w:val="0000FF"/>
      <w:u w:val="single"/>
    </w:rPr>
  </w:style>
  <w:style w:type="character" w:customStyle="1" w:styleId="xstext-4xl">
    <w:name w:val="xs:text-4xl"/>
    <w:basedOn w:val="DefaultParagraphFont"/>
    <w:rsid w:val="00FF77F8"/>
  </w:style>
  <w:style w:type="character" w:customStyle="1" w:styleId="xstext-2xl">
    <w:name w:val="xs:text-2xl"/>
    <w:basedOn w:val="DefaultParagraphFont"/>
    <w:rsid w:val="00FF77F8"/>
  </w:style>
  <w:style w:type="character" w:styleId="CommentReference">
    <w:name w:val="annotation reference"/>
    <w:basedOn w:val="DefaultParagraphFont"/>
    <w:uiPriority w:val="99"/>
    <w:semiHidden/>
    <w:unhideWhenUsed/>
    <w:rsid w:val="00BD707E"/>
    <w:rPr>
      <w:sz w:val="16"/>
      <w:szCs w:val="16"/>
    </w:rPr>
  </w:style>
  <w:style w:type="paragraph" w:styleId="CommentText">
    <w:name w:val="annotation text"/>
    <w:basedOn w:val="Normal"/>
    <w:link w:val="CommentTextChar"/>
    <w:uiPriority w:val="99"/>
    <w:unhideWhenUsed/>
    <w:rsid w:val="00BD707E"/>
    <w:pPr>
      <w:spacing w:line="240" w:lineRule="auto"/>
    </w:pPr>
    <w:rPr>
      <w:sz w:val="20"/>
      <w:szCs w:val="20"/>
    </w:rPr>
  </w:style>
  <w:style w:type="character" w:customStyle="1" w:styleId="CommentTextChar">
    <w:name w:val="Comment Text Char"/>
    <w:basedOn w:val="DefaultParagraphFont"/>
    <w:link w:val="CommentText"/>
    <w:uiPriority w:val="99"/>
    <w:rsid w:val="00BD707E"/>
    <w:rPr>
      <w:sz w:val="20"/>
      <w:szCs w:val="20"/>
    </w:rPr>
  </w:style>
  <w:style w:type="paragraph" w:styleId="CommentSubject">
    <w:name w:val="annotation subject"/>
    <w:basedOn w:val="CommentText"/>
    <w:next w:val="CommentText"/>
    <w:link w:val="CommentSubjectChar"/>
    <w:uiPriority w:val="99"/>
    <w:semiHidden/>
    <w:unhideWhenUsed/>
    <w:rsid w:val="00BD707E"/>
    <w:rPr>
      <w:b/>
      <w:bCs/>
    </w:rPr>
  </w:style>
  <w:style w:type="character" w:customStyle="1" w:styleId="CommentSubjectChar">
    <w:name w:val="Comment Subject Char"/>
    <w:basedOn w:val="CommentTextChar"/>
    <w:link w:val="CommentSubject"/>
    <w:uiPriority w:val="99"/>
    <w:semiHidden/>
    <w:rsid w:val="00BD707E"/>
    <w:rPr>
      <w:b/>
      <w:bCs/>
      <w:sz w:val="20"/>
      <w:szCs w:val="20"/>
    </w:rPr>
  </w:style>
  <w:style w:type="character" w:customStyle="1" w:styleId="Heading3Char">
    <w:name w:val="Heading 3 Char"/>
    <w:basedOn w:val="DefaultParagraphFont"/>
    <w:link w:val="Heading3"/>
    <w:uiPriority w:val="9"/>
    <w:rsid w:val="00104FF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4B525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944C1"/>
    <w:rPr>
      <w:color w:val="605E5C"/>
      <w:shd w:val="clear" w:color="auto" w:fill="E1DFDD"/>
    </w:rPr>
  </w:style>
  <w:style w:type="character" w:customStyle="1" w:styleId="Heading4Char">
    <w:name w:val="Heading 4 Char"/>
    <w:basedOn w:val="DefaultParagraphFont"/>
    <w:link w:val="Heading4"/>
    <w:uiPriority w:val="9"/>
    <w:rsid w:val="00557B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237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060ECC"/>
    <w:rPr>
      <w:color w:val="954F72" w:themeColor="followedHyperlink"/>
      <w:u w:val="single"/>
    </w:rPr>
  </w:style>
  <w:style w:type="character" w:customStyle="1" w:styleId="Heading6Char">
    <w:name w:val="Heading 6 Char"/>
    <w:basedOn w:val="DefaultParagraphFont"/>
    <w:link w:val="Heading6"/>
    <w:uiPriority w:val="9"/>
    <w:rsid w:val="00ED35AD"/>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6F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255B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2255BB"/>
  </w:style>
  <w:style w:type="character" w:customStyle="1" w:styleId="eop">
    <w:name w:val="eop"/>
    <w:basedOn w:val="DefaultParagraphFont"/>
    <w:rsid w:val="002255BB"/>
  </w:style>
  <w:style w:type="character" w:styleId="Strong">
    <w:name w:val="Strong"/>
    <w:basedOn w:val="DefaultParagraphFont"/>
    <w:uiPriority w:val="22"/>
    <w:qFormat/>
    <w:rsid w:val="002A715E"/>
    <w:rPr>
      <w:b/>
      <w:bCs/>
    </w:rPr>
  </w:style>
  <w:style w:type="character" w:customStyle="1" w:styleId="Heading7Char">
    <w:name w:val="Heading 7 Char"/>
    <w:basedOn w:val="DefaultParagraphFont"/>
    <w:link w:val="Heading7"/>
    <w:uiPriority w:val="9"/>
    <w:rsid w:val="00256AD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F3CEE"/>
    <w:rPr>
      <w:rFonts w:asciiTheme="majorHAnsi" w:eastAsiaTheme="majorEastAsia" w:hAnsiTheme="majorHAnsi" w:cstheme="majorBidi"/>
      <w:color w:val="272727" w:themeColor="text1" w:themeTint="D8"/>
      <w:sz w:val="21"/>
      <w:szCs w:val="21"/>
    </w:rPr>
  </w:style>
  <w:style w:type="paragraph" w:customStyle="1" w:styleId="MAPPA-Tabletext">
    <w:name w:val="MAPPA - Table text"/>
    <w:basedOn w:val="Normal"/>
    <w:uiPriority w:val="99"/>
    <w:rsid w:val="00540C69"/>
    <w:pPr>
      <w:suppressAutoHyphens/>
      <w:autoSpaceDE w:val="0"/>
      <w:autoSpaceDN w:val="0"/>
      <w:adjustRightInd w:val="0"/>
      <w:spacing w:before="30" w:after="30" w:line="260" w:lineRule="exact"/>
    </w:pPr>
    <w:rPr>
      <w:rFonts w:ascii="Arial" w:eastAsia="Times New Roman" w:hAnsi="Arial" w:cs="Times New Roman"/>
      <w:color w:val="000000"/>
      <w:kern w:val="0"/>
      <w:sz w:val="20"/>
      <w:szCs w:val="20"/>
      <w:lang w:val="en-US" w:eastAsia="en-GB"/>
    </w:rPr>
  </w:style>
  <w:style w:type="table" w:customStyle="1" w:styleId="Style4">
    <w:name w:val="Style4"/>
    <w:basedOn w:val="TableGrid2"/>
    <w:uiPriority w:val="99"/>
    <w:rsid w:val="00540C69"/>
    <w:pPr>
      <w:spacing w:after="0" w:line="240" w:lineRule="auto"/>
    </w:pPr>
    <w:rPr>
      <w:rFonts w:ascii="Arial" w:eastAsia="Times New Roman" w:hAnsi="Arial" w:cs="Times New Roman"/>
      <w:b/>
      <w:kern w:val="0"/>
      <w:sz w:val="24"/>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Pr/>
      <w:tcPr>
        <w:tcBorders>
          <w:tl2br w:val="none" w:sz="0" w:space="0" w:color="auto"/>
          <w:tr2bl w:val="none" w:sz="0" w:space="0" w:color="auto"/>
        </w:tcBorders>
        <w:shd w:val="clear" w:color="auto" w:fill="FFE599" w:themeFill="accent4" w:themeFillTint="66"/>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FFFFFF" w:themeFill="background1"/>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0C6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MAPPA-Bodytext">
    <w:name w:val="MAPPA - Body text"/>
    <w:basedOn w:val="Normal"/>
    <w:uiPriority w:val="99"/>
    <w:rsid w:val="005E2785"/>
    <w:pPr>
      <w:suppressAutoHyphens/>
      <w:autoSpaceDE w:val="0"/>
      <w:autoSpaceDN w:val="0"/>
      <w:adjustRightInd w:val="0"/>
      <w:spacing w:after="240" w:line="260" w:lineRule="exact"/>
    </w:pPr>
    <w:rPr>
      <w:rFonts w:ascii="Arial" w:eastAsia="Times New Roman" w:hAnsi="Arial" w:cs="Arial"/>
      <w:color w:val="000000"/>
      <w:kern w:val="0"/>
      <w:sz w:val="20"/>
      <w:lang w:val="en-US" w:eastAsia="en-GB"/>
    </w:rPr>
  </w:style>
  <w:style w:type="character" w:customStyle="1" w:styleId="Style2Char">
    <w:name w:val="Style2 Char"/>
    <w:basedOn w:val="DefaultParagraphFont"/>
    <w:link w:val="Style2"/>
    <w:locked/>
    <w:rsid w:val="005E2785"/>
    <w:rPr>
      <w:rFonts w:ascii="Arial" w:eastAsiaTheme="majorEastAsia" w:hAnsi="Arial" w:cstheme="majorBidi"/>
      <w:b/>
      <w:bCs/>
      <w:color w:val="2F5496" w:themeColor="accent1" w:themeShade="BF"/>
      <w:sz w:val="24"/>
      <w:szCs w:val="24"/>
    </w:rPr>
  </w:style>
  <w:style w:type="paragraph" w:customStyle="1" w:styleId="Style2">
    <w:name w:val="Style2"/>
    <w:basedOn w:val="Heading3"/>
    <w:link w:val="Style2Char"/>
    <w:qFormat/>
    <w:rsid w:val="005E2785"/>
    <w:pPr>
      <w:spacing w:line="360" w:lineRule="auto"/>
    </w:pPr>
    <w:rPr>
      <w:rFonts w:ascii="Arial" w:hAnsi="Arial"/>
      <w:b/>
      <w:bCs/>
      <w:color w:val="2F5496" w:themeColor="accent1" w:themeShade="BF"/>
    </w:rPr>
  </w:style>
  <w:style w:type="table" w:customStyle="1" w:styleId="Style5">
    <w:name w:val="Style5"/>
    <w:basedOn w:val="TableNormal"/>
    <w:uiPriority w:val="99"/>
    <w:rsid w:val="005E2785"/>
    <w:pPr>
      <w:spacing w:after="0" w:line="240" w:lineRule="auto"/>
    </w:pPr>
    <w:rPr>
      <w:rFonts w:ascii="Arial" w:eastAsia="Times New Roman" w:hAnsi="Arial" w:cs="Times New Roman"/>
      <w:kern w:val="0"/>
      <w:sz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FFE599" w:themeFill="accent4" w:themeFillTint="66"/>
      </w:tcPr>
    </w:tblStylePr>
  </w:style>
  <w:style w:type="paragraph" w:styleId="NormalWeb">
    <w:name w:val="Normal (Web)"/>
    <w:basedOn w:val="Normal"/>
    <w:uiPriority w:val="99"/>
    <w:semiHidden/>
    <w:unhideWhenUsed/>
    <w:rsid w:val="002D277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Revision">
    <w:name w:val="Revision"/>
    <w:hidden/>
    <w:uiPriority w:val="99"/>
    <w:semiHidden/>
    <w:rsid w:val="002A0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007">
      <w:bodyDiv w:val="1"/>
      <w:marLeft w:val="0"/>
      <w:marRight w:val="0"/>
      <w:marTop w:val="0"/>
      <w:marBottom w:val="0"/>
      <w:divBdr>
        <w:top w:val="none" w:sz="0" w:space="0" w:color="auto"/>
        <w:left w:val="none" w:sz="0" w:space="0" w:color="auto"/>
        <w:bottom w:val="none" w:sz="0" w:space="0" w:color="auto"/>
        <w:right w:val="none" w:sz="0" w:space="0" w:color="auto"/>
      </w:divBdr>
    </w:div>
    <w:div w:id="44958609">
      <w:bodyDiv w:val="1"/>
      <w:marLeft w:val="0"/>
      <w:marRight w:val="0"/>
      <w:marTop w:val="0"/>
      <w:marBottom w:val="0"/>
      <w:divBdr>
        <w:top w:val="none" w:sz="0" w:space="0" w:color="auto"/>
        <w:left w:val="none" w:sz="0" w:space="0" w:color="auto"/>
        <w:bottom w:val="none" w:sz="0" w:space="0" w:color="auto"/>
        <w:right w:val="none" w:sz="0" w:space="0" w:color="auto"/>
      </w:divBdr>
      <w:divsChild>
        <w:div w:id="524176656">
          <w:marLeft w:val="0"/>
          <w:marRight w:val="0"/>
          <w:marTop w:val="0"/>
          <w:marBottom w:val="225"/>
          <w:divBdr>
            <w:top w:val="none" w:sz="0" w:space="0" w:color="auto"/>
            <w:left w:val="none" w:sz="0" w:space="0" w:color="auto"/>
            <w:bottom w:val="none" w:sz="0" w:space="0" w:color="auto"/>
            <w:right w:val="none" w:sz="0" w:space="0" w:color="auto"/>
          </w:divBdr>
        </w:div>
        <w:div w:id="1877696619">
          <w:marLeft w:val="0"/>
          <w:marRight w:val="0"/>
          <w:marTop w:val="0"/>
          <w:marBottom w:val="300"/>
          <w:divBdr>
            <w:top w:val="none" w:sz="0" w:space="0" w:color="auto"/>
            <w:left w:val="none" w:sz="0" w:space="0" w:color="auto"/>
            <w:bottom w:val="none" w:sz="0" w:space="0" w:color="auto"/>
            <w:right w:val="none" w:sz="0" w:space="0" w:color="auto"/>
          </w:divBdr>
        </w:div>
      </w:divsChild>
    </w:div>
    <w:div w:id="60490128">
      <w:bodyDiv w:val="1"/>
      <w:marLeft w:val="0"/>
      <w:marRight w:val="0"/>
      <w:marTop w:val="0"/>
      <w:marBottom w:val="0"/>
      <w:divBdr>
        <w:top w:val="none" w:sz="0" w:space="0" w:color="auto"/>
        <w:left w:val="none" w:sz="0" w:space="0" w:color="auto"/>
        <w:bottom w:val="none" w:sz="0" w:space="0" w:color="auto"/>
        <w:right w:val="none" w:sz="0" w:space="0" w:color="auto"/>
      </w:divBdr>
    </w:div>
    <w:div w:id="79447139">
      <w:bodyDiv w:val="1"/>
      <w:marLeft w:val="0"/>
      <w:marRight w:val="0"/>
      <w:marTop w:val="0"/>
      <w:marBottom w:val="0"/>
      <w:divBdr>
        <w:top w:val="none" w:sz="0" w:space="0" w:color="auto"/>
        <w:left w:val="none" w:sz="0" w:space="0" w:color="auto"/>
        <w:bottom w:val="none" w:sz="0" w:space="0" w:color="auto"/>
        <w:right w:val="none" w:sz="0" w:space="0" w:color="auto"/>
      </w:divBdr>
      <w:divsChild>
        <w:div w:id="488984229">
          <w:marLeft w:val="0"/>
          <w:marRight w:val="480"/>
          <w:marTop w:val="0"/>
          <w:marBottom w:val="0"/>
          <w:divBdr>
            <w:top w:val="none" w:sz="0" w:space="0" w:color="auto"/>
            <w:left w:val="none" w:sz="0" w:space="0" w:color="auto"/>
            <w:bottom w:val="none" w:sz="0" w:space="0" w:color="auto"/>
            <w:right w:val="none" w:sz="0" w:space="0" w:color="auto"/>
          </w:divBdr>
          <w:divsChild>
            <w:div w:id="359598335">
              <w:marLeft w:val="0"/>
              <w:marRight w:val="0"/>
              <w:marTop w:val="0"/>
              <w:marBottom w:val="480"/>
              <w:divBdr>
                <w:top w:val="none" w:sz="0" w:space="0" w:color="auto"/>
                <w:left w:val="none" w:sz="0" w:space="0" w:color="auto"/>
                <w:bottom w:val="none" w:sz="0" w:space="0" w:color="auto"/>
                <w:right w:val="none" w:sz="0" w:space="0" w:color="auto"/>
              </w:divBdr>
              <w:divsChild>
                <w:div w:id="92287957">
                  <w:marLeft w:val="0"/>
                  <w:marRight w:val="0"/>
                  <w:marTop w:val="0"/>
                  <w:marBottom w:val="0"/>
                  <w:divBdr>
                    <w:top w:val="none" w:sz="0" w:space="0" w:color="auto"/>
                    <w:left w:val="none" w:sz="0" w:space="0" w:color="auto"/>
                    <w:bottom w:val="none" w:sz="0" w:space="0" w:color="auto"/>
                    <w:right w:val="none" w:sz="0" w:space="0" w:color="auto"/>
                  </w:divBdr>
                </w:div>
                <w:div w:id="1091972588">
                  <w:marLeft w:val="0"/>
                  <w:marRight w:val="0"/>
                  <w:marTop w:val="0"/>
                  <w:marBottom w:val="0"/>
                  <w:divBdr>
                    <w:top w:val="none" w:sz="0" w:space="0" w:color="auto"/>
                    <w:left w:val="none" w:sz="0" w:space="0" w:color="auto"/>
                    <w:bottom w:val="none" w:sz="0" w:space="0" w:color="auto"/>
                    <w:right w:val="none" w:sz="0" w:space="0" w:color="auto"/>
                  </w:divBdr>
                  <w:divsChild>
                    <w:div w:id="2018116269">
                      <w:marLeft w:val="0"/>
                      <w:marRight w:val="0"/>
                      <w:marTop w:val="0"/>
                      <w:marBottom w:val="0"/>
                      <w:divBdr>
                        <w:top w:val="none" w:sz="0" w:space="0" w:color="auto"/>
                        <w:left w:val="none" w:sz="0" w:space="0" w:color="auto"/>
                        <w:bottom w:val="none" w:sz="0" w:space="0" w:color="auto"/>
                        <w:right w:val="none" w:sz="0" w:space="0" w:color="auto"/>
                      </w:divBdr>
                      <w:divsChild>
                        <w:div w:id="1583837709">
                          <w:marLeft w:val="0"/>
                          <w:marRight w:val="0"/>
                          <w:marTop w:val="0"/>
                          <w:marBottom w:val="0"/>
                          <w:divBdr>
                            <w:top w:val="none" w:sz="0" w:space="0" w:color="auto"/>
                            <w:left w:val="none" w:sz="0" w:space="0" w:color="auto"/>
                            <w:bottom w:val="none" w:sz="0" w:space="0" w:color="auto"/>
                            <w:right w:val="none" w:sz="0" w:space="0" w:color="auto"/>
                          </w:divBdr>
                          <w:divsChild>
                            <w:div w:id="159928955">
                              <w:marLeft w:val="0"/>
                              <w:marRight w:val="0"/>
                              <w:marTop w:val="0"/>
                              <w:marBottom w:val="0"/>
                              <w:divBdr>
                                <w:top w:val="none" w:sz="0" w:space="0" w:color="auto"/>
                                <w:left w:val="none" w:sz="0" w:space="0" w:color="auto"/>
                                <w:bottom w:val="none" w:sz="0" w:space="0" w:color="auto"/>
                                <w:right w:val="none" w:sz="0" w:space="0" w:color="auto"/>
                              </w:divBdr>
                            </w:div>
                            <w:div w:id="1358310866">
                              <w:marLeft w:val="0"/>
                              <w:marRight w:val="0"/>
                              <w:marTop w:val="0"/>
                              <w:marBottom w:val="0"/>
                              <w:divBdr>
                                <w:top w:val="none" w:sz="0" w:space="0" w:color="auto"/>
                                <w:left w:val="none" w:sz="0" w:space="0" w:color="auto"/>
                                <w:bottom w:val="none" w:sz="0" w:space="0" w:color="auto"/>
                                <w:right w:val="none" w:sz="0" w:space="0" w:color="auto"/>
                              </w:divBdr>
                            </w:div>
                            <w:div w:id="1438520478">
                              <w:marLeft w:val="0"/>
                              <w:marRight w:val="0"/>
                              <w:marTop w:val="0"/>
                              <w:marBottom w:val="0"/>
                              <w:divBdr>
                                <w:top w:val="none" w:sz="0" w:space="0" w:color="auto"/>
                                <w:left w:val="none" w:sz="0" w:space="0" w:color="auto"/>
                                <w:bottom w:val="none" w:sz="0" w:space="0" w:color="auto"/>
                                <w:right w:val="none" w:sz="0" w:space="0" w:color="auto"/>
                              </w:divBdr>
                              <w:divsChild>
                                <w:div w:id="1889754197">
                                  <w:marLeft w:val="0"/>
                                  <w:marRight w:val="0"/>
                                  <w:marTop w:val="0"/>
                                  <w:marBottom w:val="0"/>
                                  <w:divBdr>
                                    <w:top w:val="none" w:sz="0" w:space="0" w:color="auto"/>
                                    <w:left w:val="none" w:sz="0" w:space="0" w:color="auto"/>
                                    <w:bottom w:val="none" w:sz="0" w:space="0" w:color="auto"/>
                                    <w:right w:val="none" w:sz="0" w:space="0" w:color="auto"/>
                                  </w:divBdr>
                                  <w:divsChild>
                                    <w:div w:id="528370322">
                                      <w:marLeft w:val="0"/>
                                      <w:marRight w:val="0"/>
                                      <w:marTop w:val="0"/>
                                      <w:marBottom w:val="0"/>
                                      <w:divBdr>
                                        <w:top w:val="none" w:sz="0" w:space="0" w:color="auto"/>
                                        <w:left w:val="none" w:sz="0" w:space="0" w:color="auto"/>
                                        <w:bottom w:val="none" w:sz="0" w:space="0" w:color="auto"/>
                                        <w:right w:val="none" w:sz="0" w:space="0" w:color="auto"/>
                                      </w:divBdr>
                                      <w:divsChild>
                                        <w:div w:id="150801237">
                                          <w:marLeft w:val="0"/>
                                          <w:marRight w:val="0"/>
                                          <w:marTop w:val="0"/>
                                          <w:marBottom w:val="0"/>
                                          <w:divBdr>
                                            <w:top w:val="none" w:sz="0" w:space="0" w:color="auto"/>
                                            <w:left w:val="none" w:sz="0" w:space="0" w:color="auto"/>
                                            <w:bottom w:val="none" w:sz="0" w:space="0" w:color="auto"/>
                                            <w:right w:val="none" w:sz="0" w:space="0" w:color="auto"/>
                                          </w:divBdr>
                                        </w:div>
                                        <w:div w:id="153880307">
                                          <w:marLeft w:val="0"/>
                                          <w:marRight w:val="0"/>
                                          <w:marTop w:val="0"/>
                                          <w:marBottom w:val="0"/>
                                          <w:divBdr>
                                            <w:top w:val="none" w:sz="0" w:space="0" w:color="auto"/>
                                            <w:left w:val="none" w:sz="0" w:space="0" w:color="auto"/>
                                            <w:bottom w:val="none" w:sz="0" w:space="0" w:color="auto"/>
                                            <w:right w:val="none" w:sz="0" w:space="0" w:color="auto"/>
                                          </w:divBdr>
                                        </w:div>
                                        <w:div w:id="10073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721987">
          <w:marLeft w:val="0"/>
          <w:marRight w:val="480"/>
          <w:marTop w:val="0"/>
          <w:marBottom w:val="0"/>
          <w:divBdr>
            <w:top w:val="none" w:sz="0" w:space="0" w:color="auto"/>
            <w:left w:val="none" w:sz="0" w:space="0" w:color="auto"/>
            <w:bottom w:val="none" w:sz="0" w:space="0" w:color="auto"/>
            <w:right w:val="none" w:sz="0" w:space="0" w:color="auto"/>
          </w:divBdr>
          <w:divsChild>
            <w:div w:id="1910842912">
              <w:marLeft w:val="0"/>
              <w:marRight w:val="0"/>
              <w:marTop w:val="0"/>
              <w:marBottom w:val="360"/>
              <w:divBdr>
                <w:top w:val="none" w:sz="0" w:space="0" w:color="auto"/>
                <w:left w:val="none" w:sz="0" w:space="0" w:color="auto"/>
                <w:bottom w:val="none" w:sz="0" w:space="0" w:color="auto"/>
                <w:right w:val="none" w:sz="0" w:space="0" w:color="auto"/>
              </w:divBdr>
              <w:divsChild>
                <w:div w:id="21387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4812">
          <w:marLeft w:val="0"/>
          <w:marRight w:val="480"/>
          <w:marTop w:val="0"/>
          <w:marBottom w:val="0"/>
          <w:divBdr>
            <w:top w:val="none" w:sz="0" w:space="0" w:color="auto"/>
            <w:left w:val="none" w:sz="0" w:space="0" w:color="auto"/>
            <w:bottom w:val="none" w:sz="0" w:space="0" w:color="auto"/>
            <w:right w:val="none" w:sz="0" w:space="0" w:color="auto"/>
          </w:divBdr>
        </w:div>
        <w:div w:id="1016661483">
          <w:marLeft w:val="0"/>
          <w:marRight w:val="480"/>
          <w:marTop w:val="0"/>
          <w:marBottom w:val="0"/>
          <w:divBdr>
            <w:top w:val="none" w:sz="0" w:space="0" w:color="auto"/>
            <w:left w:val="none" w:sz="0" w:space="0" w:color="auto"/>
            <w:bottom w:val="none" w:sz="0" w:space="0" w:color="auto"/>
            <w:right w:val="none" w:sz="0" w:space="0" w:color="auto"/>
          </w:divBdr>
        </w:div>
        <w:div w:id="1265455684">
          <w:marLeft w:val="0"/>
          <w:marRight w:val="480"/>
          <w:marTop w:val="0"/>
          <w:marBottom w:val="0"/>
          <w:divBdr>
            <w:top w:val="none" w:sz="0" w:space="0" w:color="auto"/>
            <w:left w:val="none" w:sz="0" w:space="0" w:color="auto"/>
            <w:bottom w:val="none" w:sz="0" w:space="0" w:color="auto"/>
            <w:right w:val="none" w:sz="0" w:space="0" w:color="auto"/>
          </w:divBdr>
          <w:divsChild>
            <w:div w:id="824590409">
              <w:marLeft w:val="0"/>
              <w:marRight w:val="0"/>
              <w:marTop w:val="0"/>
              <w:marBottom w:val="480"/>
              <w:divBdr>
                <w:top w:val="none" w:sz="0" w:space="0" w:color="auto"/>
                <w:left w:val="none" w:sz="0" w:space="0" w:color="auto"/>
                <w:bottom w:val="none" w:sz="0" w:space="0" w:color="auto"/>
                <w:right w:val="none" w:sz="0" w:space="0" w:color="auto"/>
              </w:divBdr>
              <w:divsChild>
                <w:div w:id="1077827525">
                  <w:marLeft w:val="0"/>
                  <w:marRight w:val="0"/>
                  <w:marTop w:val="0"/>
                  <w:marBottom w:val="0"/>
                  <w:divBdr>
                    <w:top w:val="none" w:sz="0" w:space="0" w:color="auto"/>
                    <w:left w:val="none" w:sz="0" w:space="0" w:color="auto"/>
                    <w:bottom w:val="none" w:sz="0" w:space="0" w:color="auto"/>
                    <w:right w:val="none" w:sz="0" w:space="0" w:color="auto"/>
                  </w:divBdr>
                  <w:divsChild>
                    <w:div w:id="600530332">
                      <w:marLeft w:val="0"/>
                      <w:marRight w:val="0"/>
                      <w:marTop w:val="0"/>
                      <w:marBottom w:val="0"/>
                      <w:divBdr>
                        <w:top w:val="none" w:sz="0" w:space="0" w:color="auto"/>
                        <w:left w:val="none" w:sz="0" w:space="0" w:color="auto"/>
                        <w:bottom w:val="none" w:sz="0" w:space="0" w:color="auto"/>
                        <w:right w:val="none" w:sz="0" w:space="0" w:color="auto"/>
                      </w:divBdr>
                      <w:divsChild>
                        <w:div w:id="441388361">
                          <w:marLeft w:val="0"/>
                          <w:marRight w:val="0"/>
                          <w:marTop w:val="0"/>
                          <w:marBottom w:val="0"/>
                          <w:divBdr>
                            <w:top w:val="none" w:sz="0" w:space="0" w:color="auto"/>
                            <w:left w:val="none" w:sz="0" w:space="0" w:color="auto"/>
                            <w:bottom w:val="none" w:sz="0" w:space="0" w:color="auto"/>
                            <w:right w:val="none" w:sz="0" w:space="0" w:color="auto"/>
                          </w:divBdr>
                          <w:divsChild>
                            <w:div w:id="1014960845">
                              <w:marLeft w:val="0"/>
                              <w:marRight w:val="0"/>
                              <w:marTop w:val="0"/>
                              <w:marBottom w:val="0"/>
                              <w:divBdr>
                                <w:top w:val="none" w:sz="0" w:space="0" w:color="auto"/>
                                <w:left w:val="none" w:sz="0" w:space="0" w:color="auto"/>
                                <w:bottom w:val="none" w:sz="0" w:space="0" w:color="auto"/>
                                <w:right w:val="none" w:sz="0" w:space="0" w:color="auto"/>
                              </w:divBdr>
                            </w:div>
                            <w:div w:id="1457943197">
                              <w:marLeft w:val="0"/>
                              <w:marRight w:val="0"/>
                              <w:marTop w:val="0"/>
                              <w:marBottom w:val="0"/>
                              <w:divBdr>
                                <w:top w:val="none" w:sz="0" w:space="0" w:color="auto"/>
                                <w:left w:val="none" w:sz="0" w:space="0" w:color="auto"/>
                                <w:bottom w:val="none" w:sz="0" w:space="0" w:color="auto"/>
                                <w:right w:val="none" w:sz="0" w:space="0" w:color="auto"/>
                              </w:divBdr>
                            </w:div>
                            <w:div w:id="16458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6595">
                  <w:marLeft w:val="0"/>
                  <w:marRight w:val="0"/>
                  <w:marTop w:val="0"/>
                  <w:marBottom w:val="0"/>
                  <w:divBdr>
                    <w:top w:val="none" w:sz="0" w:space="0" w:color="auto"/>
                    <w:left w:val="none" w:sz="0" w:space="0" w:color="auto"/>
                    <w:bottom w:val="none" w:sz="0" w:space="0" w:color="auto"/>
                    <w:right w:val="none" w:sz="0" w:space="0" w:color="auto"/>
                  </w:divBdr>
                </w:div>
              </w:divsChild>
            </w:div>
            <w:div w:id="987704789">
              <w:marLeft w:val="0"/>
              <w:marRight w:val="0"/>
              <w:marTop w:val="0"/>
              <w:marBottom w:val="360"/>
              <w:divBdr>
                <w:top w:val="none" w:sz="0" w:space="0" w:color="auto"/>
                <w:left w:val="none" w:sz="0" w:space="0" w:color="auto"/>
                <w:bottom w:val="none" w:sz="0" w:space="0" w:color="auto"/>
                <w:right w:val="none" w:sz="0" w:space="0" w:color="auto"/>
              </w:divBdr>
              <w:divsChild>
                <w:div w:id="6926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9151">
          <w:marLeft w:val="0"/>
          <w:marRight w:val="480"/>
          <w:marTop w:val="0"/>
          <w:marBottom w:val="0"/>
          <w:divBdr>
            <w:top w:val="none" w:sz="0" w:space="0" w:color="auto"/>
            <w:left w:val="none" w:sz="0" w:space="0" w:color="auto"/>
            <w:bottom w:val="none" w:sz="0" w:space="0" w:color="auto"/>
            <w:right w:val="none" w:sz="0" w:space="0" w:color="auto"/>
          </w:divBdr>
          <w:divsChild>
            <w:div w:id="678851835">
              <w:marLeft w:val="0"/>
              <w:marRight w:val="0"/>
              <w:marTop w:val="0"/>
              <w:marBottom w:val="240"/>
              <w:divBdr>
                <w:top w:val="none" w:sz="0" w:space="0" w:color="auto"/>
                <w:left w:val="none" w:sz="0" w:space="0" w:color="auto"/>
                <w:bottom w:val="none" w:sz="0" w:space="0" w:color="auto"/>
                <w:right w:val="none" w:sz="0" w:space="0" w:color="auto"/>
              </w:divBdr>
            </w:div>
          </w:divsChild>
        </w:div>
        <w:div w:id="1798255968">
          <w:marLeft w:val="-240"/>
          <w:marRight w:val="0"/>
          <w:marTop w:val="0"/>
          <w:marBottom w:val="0"/>
          <w:divBdr>
            <w:top w:val="none" w:sz="0" w:space="0" w:color="auto"/>
            <w:left w:val="none" w:sz="0" w:space="0" w:color="auto"/>
            <w:bottom w:val="single" w:sz="6" w:space="0" w:color="D0D2D3"/>
            <w:right w:val="none" w:sz="0" w:space="0" w:color="auto"/>
          </w:divBdr>
          <w:divsChild>
            <w:div w:id="76250514">
              <w:marLeft w:val="480"/>
              <w:marRight w:val="0"/>
              <w:marTop w:val="840"/>
              <w:marBottom w:val="240"/>
              <w:divBdr>
                <w:top w:val="single" w:sz="6" w:space="0" w:color="D0D2D3"/>
                <w:left w:val="single" w:sz="6" w:space="0" w:color="D0D2D3"/>
                <w:bottom w:val="single" w:sz="6" w:space="0" w:color="D0D2D3"/>
                <w:right w:val="single" w:sz="6" w:space="0" w:color="D0D2D3"/>
              </w:divBdr>
            </w:div>
            <w:div w:id="291134727">
              <w:marLeft w:val="240"/>
              <w:marRight w:val="0"/>
              <w:marTop w:val="0"/>
              <w:marBottom w:val="0"/>
              <w:divBdr>
                <w:top w:val="none" w:sz="0" w:space="0" w:color="auto"/>
                <w:left w:val="none" w:sz="0" w:space="0" w:color="auto"/>
                <w:bottom w:val="none" w:sz="0" w:space="0" w:color="auto"/>
                <w:right w:val="none" w:sz="0" w:space="0" w:color="auto"/>
              </w:divBdr>
              <w:divsChild>
                <w:div w:id="6425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968">
          <w:marLeft w:val="0"/>
          <w:marRight w:val="480"/>
          <w:marTop w:val="0"/>
          <w:marBottom w:val="0"/>
          <w:divBdr>
            <w:top w:val="none" w:sz="0" w:space="0" w:color="auto"/>
            <w:left w:val="none" w:sz="0" w:space="0" w:color="auto"/>
            <w:bottom w:val="none" w:sz="0" w:space="0" w:color="auto"/>
            <w:right w:val="none" w:sz="0" w:space="0" w:color="auto"/>
          </w:divBdr>
          <w:divsChild>
            <w:div w:id="229846069">
              <w:marLeft w:val="0"/>
              <w:marRight w:val="0"/>
              <w:marTop w:val="0"/>
              <w:marBottom w:val="480"/>
              <w:divBdr>
                <w:top w:val="none" w:sz="0" w:space="0" w:color="auto"/>
                <w:left w:val="none" w:sz="0" w:space="0" w:color="auto"/>
                <w:bottom w:val="none" w:sz="0" w:space="0" w:color="auto"/>
                <w:right w:val="none" w:sz="0" w:space="0" w:color="auto"/>
              </w:divBdr>
              <w:divsChild>
                <w:div w:id="299770943">
                  <w:marLeft w:val="0"/>
                  <w:marRight w:val="0"/>
                  <w:marTop w:val="0"/>
                  <w:marBottom w:val="0"/>
                  <w:divBdr>
                    <w:top w:val="none" w:sz="0" w:space="0" w:color="auto"/>
                    <w:left w:val="none" w:sz="0" w:space="0" w:color="auto"/>
                    <w:bottom w:val="none" w:sz="0" w:space="0" w:color="auto"/>
                    <w:right w:val="none" w:sz="0" w:space="0" w:color="auto"/>
                  </w:divBdr>
                </w:div>
                <w:div w:id="745222796">
                  <w:marLeft w:val="0"/>
                  <w:marRight w:val="0"/>
                  <w:marTop w:val="0"/>
                  <w:marBottom w:val="0"/>
                  <w:divBdr>
                    <w:top w:val="none" w:sz="0" w:space="0" w:color="auto"/>
                    <w:left w:val="none" w:sz="0" w:space="0" w:color="auto"/>
                    <w:bottom w:val="none" w:sz="0" w:space="0" w:color="auto"/>
                    <w:right w:val="none" w:sz="0" w:space="0" w:color="auto"/>
                  </w:divBdr>
                  <w:divsChild>
                    <w:div w:id="428425211">
                      <w:marLeft w:val="0"/>
                      <w:marRight w:val="0"/>
                      <w:marTop w:val="0"/>
                      <w:marBottom w:val="0"/>
                      <w:divBdr>
                        <w:top w:val="none" w:sz="0" w:space="0" w:color="auto"/>
                        <w:left w:val="none" w:sz="0" w:space="0" w:color="auto"/>
                        <w:bottom w:val="none" w:sz="0" w:space="0" w:color="auto"/>
                        <w:right w:val="none" w:sz="0" w:space="0" w:color="auto"/>
                      </w:divBdr>
                      <w:divsChild>
                        <w:div w:id="640383882">
                          <w:marLeft w:val="0"/>
                          <w:marRight w:val="0"/>
                          <w:marTop w:val="0"/>
                          <w:marBottom w:val="0"/>
                          <w:divBdr>
                            <w:top w:val="none" w:sz="0" w:space="0" w:color="auto"/>
                            <w:left w:val="none" w:sz="0" w:space="0" w:color="auto"/>
                            <w:bottom w:val="none" w:sz="0" w:space="0" w:color="auto"/>
                            <w:right w:val="none" w:sz="0" w:space="0" w:color="auto"/>
                          </w:divBdr>
                          <w:divsChild>
                            <w:div w:id="480191641">
                              <w:marLeft w:val="0"/>
                              <w:marRight w:val="0"/>
                              <w:marTop w:val="0"/>
                              <w:marBottom w:val="0"/>
                              <w:divBdr>
                                <w:top w:val="none" w:sz="0" w:space="0" w:color="auto"/>
                                <w:left w:val="none" w:sz="0" w:space="0" w:color="auto"/>
                                <w:bottom w:val="none" w:sz="0" w:space="0" w:color="auto"/>
                                <w:right w:val="none" w:sz="0" w:space="0" w:color="auto"/>
                              </w:divBdr>
                            </w:div>
                            <w:div w:id="484854867">
                              <w:marLeft w:val="0"/>
                              <w:marRight w:val="0"/>
                              <w:marTop w:val="0"/>
                              <w:marBottom w:val="0"/>
                              <w:divBdr>
                                <w:top w:val="none" w:sz="0" w:space="0" w:color="auto"/>
                                <w:left w:val="none" w:sz="0" w:space="0" w:color="auto"/>
                                <w:bottom w:val="none" w:sz="0" w:space="0" w:color="auto"/>
                                <w:right w:val="none" w:sz="0" w:space="0" w:color="auto"/>
                              </w:divBdr>
                            </w:div>
                            <w:div w:id="740059324">
                              <w:marLeft w:val="0"/>
                              <w:marRight w:val="0"/>
                              <w:marTop w:val="0"/>
                              <w:marBottom w:val="0"/>
                              <w:divBdr>
                                <w:top w:val="none" w:sz="0" w:space="0" w:color="auto"/>
                                <w:left w:val="none" w:sz="0" w:space="0" w:color="auto"/>
                                <w:bottom w:val="none" w:sz="0" w:space="0" w:color="auto"/>
                                <w:right w:val="none" w:sz="0" w:space="0" w:color="auto"/>
                              </w:divBdr>
                            </w:div>
                            <w:div w:id="1669945121">
                              <w:marLeft w:val="0"/>
                              <w:marRight w:val="0"/>
                              <w:marTop w:val="0"/>
                              <w:marBottom w:val="0"/>
                              <w:divBdr>
                                <w:top w:val="none" w:sz="0" w:space="0" w:color="auto"/>
                                <w:left w:val="none" w:sz="0" w:space="0" w:color="auto"/>
                                <w:bottom w:val="none" w:sz="0" w:space="0" w:color="auto"/>
                                <w:right w:val="none" w:sz="0" w:space="0" w:color="auto"/>
                              </w:divBdr>
                              <w:divsChild>
                                <w:div w:id="303778433">
                                  <w:marLeft w:val="0"/>
                                  <w:marRight w:val="0"/>
                                  <w:marTop w:val="0"/>
                                  <w:marBottom w:val="0"/>
                                  <w:divBdr>
                                    <w:top w:val="none" w:sz="0" w:space="0" w:color="auto"/>
                                    <w:left w:val="none" w:sz="0" w:space="0" w:color="auto"/>
                                    <w:bottom w:val="none" w:sz="0" w:space="0" w:color="auto"/>
                                    <w:right w:val="none" w:sz="0" w:space="0" w:color="auto"/>
                                  </w:divBdr>
                                  <w:divsChild>
                                    <w:div w:id="304093633">
                                      <w:marLeft w:val="0"/>
                                      <w:marRight w:val="0"/>
                                      <w:marTop w:val="0"/>
                                      <w:marBottom w:val="0"/>
                                      <w:divBdr>
                                        <w:top w:val="none" w:sz="0" w:space="0" w:color="auto"/>
                                        <w:left w:val="none" w:sz="0" w:space="0" w:color="auto"/>
                                        <w:bottom w:val="none" w:sz="0" w:space="0" w:color="auto"/>
                                        <w:right w:val="none" w:sz="0" w:space="0" w:color="auto"/>
                                      </w:divBdr>
                                      <w:divsChild>
                                        <w:div w:id="648292901">
                                          <w:marLeft w:val="0"/>
                                          <w:marRight w:val="0"/>
                                          <w:marTop w:val="0"/>
                                          <w:marBottom w:val="0"/>
                                          <w:divBdr>
                                            <w:top w:val="none" w:sz="0" w:space="0" w:color="auto"/>
                                            <w:left w:val="none" w:sz="0" w:space="0" w:color="auto"/>
                                            <w:bottom w:val="none" w:sz="0" w:space="0" w:color="auto"/>
                                            <w:right w:val="none" w:sz="0" w:space="0" w:color="auto"/>
                                          </w:divBdr>
                                        </w:div>
                                        <w:div w:id="1831797110">
                                          <w:marLeft w:val="0"/>
                                          <w:marRight w:val="0"/>
                                          <w:marTop w:val="0"/>
                                          <w:marBottom w:val="0"/>
                                          <w:divBdr>
                                            <w:top w:val="none" w:sz="0" w:space="0" w:color="auto"/>
                                            <w:left w:val="none" w:sz="0" w:space="0" w:color="auto"/>
                                            <w:bottom w:val="none" w:sz="0" w:space="0" w:color="auto"/>
                                            <w:right w:val="none" w:sz="0" w:space="0" w:color="auto"/>
                                          </w:divBdr>
                                        </w:div>
                                        <w:div w:id="21024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904489">
              <w:marLeft w:val="0"/>
              <w:marRight w:val="0"/>
              <w:marTop w:val="0"/>
              <w:marBottom w:val="480"/>
              <w:divBdr>
                <w:top w:val="none" w:sz="0" w:space="0" w:color="auto"/>
                <w:left w:val="none" w:sz="0" w:space="0" w:color="auto"/>
                <w:bottom w:val="none" w:sz="0" w:space="0" w:color="auto"/>
                <w:right w:val="none" w:sz="0" w:space="0" w:color="auto"/>
              </w:divBdr>
              <w:divsChild>
                <w:div w:id="71510852">
                  <w:marLeft w:val="0"/>
                  <w:marRight w:val="0"/>
                  <w:marTop w:val="0"/>
                  <w:marBottom w:val="0"/>
                  <w:divBdr>
                    <w:top w:val="none" w:sz="0" w:space="0" w:color="auto"/>
                    <w:left w:val="none" w:sz="0" w:space="0" w:color="auto"/>
                    <w:bottom w:val="none" w:sz="0" w:space="0" w:color="auto"/>
                    <w:right w:val="none" w:sz="0" w:space="0" w:color="auto"/>
                  </w:divBdr>
                </w:div>
                <w:div w:id="1800830443">
                  <w:marLeft w:val="0"/>
                  <w:marRight w:val="0"/>
                  <w:marTop w:val="0"/>
                  <w:marBottom w:val="0"/>
                  <w:divBdr>
                    <w:top w:val="none" w:sz="0" w:space="0" w:color="auto"/>
                    <w:left w:val="none" w:sz="0" w:space="0" w:color="auto"/>
                    <w:bottom w:val="none" w:sz="0" w:space="0" w:color="auto"/>
                    <w:right w:val="none" w:sz="0" w:space="0" w:color="auto"/>
                  </w:divBdr>
                  <w:divsChild>
                    <w:div w:id="135607849">
                      <w:marLeft w:val="0"/>
                      <w:marRight w:val="0"/>
                      <w:marTop w:val="0"/>
                      <w:marBottom w:val="0"/>
                      <w:divBdr>
                        <w:top w:val="none" w:sz="0" w:space="0" w:color="auto"/>
                        <w:left w:val="none" w:sz="0" w:space="0" w:color="auto"/>
                        <w:bottom w:val="none" w:sz="0" w:space="0" w:color="auto"/>
                        <w:right w:val="none" w:sz="0" w:space="0" w:color="auto"/>
                      </w:divBdr>
                      <w:divsChild>
                        <w:div w:id="1354648471">
                          <w:marLeft w:val="0"/>
                          <w:marRight w:val="0"/>
                          <w:marTop w:val="0"/>
                          <w:marBottom w:val="0"/>
                          <w:divBdr>
                            <w:top w:val="none" w:sz="0" w:space="0" w:color="auto"/>
                            <w:left w:val="none" w:sz="0" w:space="0" w:color="auto"/>
                            <w:bottom w:val="none" w:sz="0" w:space="0" w:color="auto"/>
                            <w:right w:val="none" w:sz="0" w:space="0" w:color="auto"/>
                          </w:divBdr>
                          <w:divsChild>
                            <w:div w:id="388766830">
                              <w:marLeft w:val="0"/>
                              <w:marRight w:val="0"/>
                              <w:marTop w:val="0"/>
                              <w:marBottom w:val="0"/>
                              <w:divBdr>
                                <w:top w:val="none" w:sz="0" w:space="0" w:color="auto"/>
                                <w:left w:val="none" w:sz="0" w:space="0" w:color="auto"/>
                                <w:bottom w:val="none" w:sz="0" w:space="0" w:color="auto"/>
                                <w:right w:val="none" w:sz="0" w:space="0" w:color="auto"/>
                              </w:divBdr>
                            </w:div>
                            <w:div w:id="852457289">
                              <w:marLeft w:val="0"/>
                              <w:marRight w:val="0"/>
                              <w:marTop w:val="0"/>
                              <w:marBottom w:val="0"/>
                              <w:divBdr>
                                <w:top w:val="none" w:sz="0" w:space="0" w:color="auto"/>
                                <w:left w:val="none" w:sz="0" w:space="0" w:color="auto"/>
                                <w:bottom w:val="none" w:sz="0" w:space="0" w:color="auto"/>
                                <w:right w:val="none" w:sz="0" w:space="0" w:color="auto"/>
                              </w:divBdr>
                            </w:div>
                            <w:div w:id="8571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82993">
          <w:marLeft w:val="0"/>
          <w:marRight w:val="480"/>
          <w:marTop w:val="0"/>
          <w:marBottom w:val="0"/>
          <w:divBdr>
            <w:top w:val="none" w:sz="0" w:space="0" w:color="auto"/>
            <w:left w:val="none" w:sz="0" w:space="0" w:color="auto"/>
            <w:bottom w:val="none" w:sz="0" w:space="0" w:color="auto"/>
            <w:right w:val="none" w:sz="0" w:space="0" w:color="auto"/>
          </w:divBdr>
        </w:div>
        <w:div w:id="2144959776">
          <w:marLeft w:val="0"/>
          <w:marRight w:val="480"/>
          <w:marTop w:val="0"/>
          <w:marBottom w:val="0"/>
          <w:divBdr>
            <w:top w:val="none" w:sz="0" w:space="0" w:color="auto"/>
            <w:left w:val="none" w:sz="0" w:space="0" w:color="auto"/>
            <w:bottom w:val="none" w:sz="0" w:space="0" w:color="auto"/>
            <w:right w:val="none" w:sz="0" w:space="0" w:color="auto"/>
          </w:divBdr>
        </w:div>
      </w:divsChild>
    </w:div>
    <w:div w:id="100691620">
      <w:bodyDiv w:val="1"/>
      <w:marLeft w:val="0"/>
      <w:marRight w:val="0"/>
      <w:marTop w:val="0"/>
      <w:marBottom w:val="0"/>
      <w:divBdr>
        <w:top w:val="none" w:sz="0" w:space="0" w:color="auto"/>
        <w:left w:val="none" w:sz="0" w:space="0" w:color="auto"/>
        <w:bottom w:val="none" w:sz="0" w:space="0" w:color="auto"/>
        <w:right w:val="none" w:sz="0" w:space="0" w:color="auto"/>
      </w:divBdr>
    </w:div>
    <w:div w:id="106125358">
      <w:bodyDiv w:val="1"/>
      <w:marLeft w:val="0"/>
      <w:marRight w:val="0"/>
      <w:marTop w:val="0"/>
      <w:marBottom w:val="0"/>
      <w:divBdr>
        <w:top w:val="none" w:sz="0" w:space="0" w:color="auto"/>
        <w:left w:val="none" w:sz="0" w:space="0" w:color="auto"/>
        <w:bottom w:val="none" w:sz="0" w:space="0" w:color="auto"/>
        <w:right w:val="none" w:sz="0" w:space="0" w:color="auto"/>
      </w:divBdr>
    </w:div>
    <w:div w:id="107092317">
      <w:bodyDiv w:val="1"/>
      <w:marLeft w:val="0"/>
      <w:marRight w:val="0"/>
      <w:marTop w:val="0"/>
      <w:marBottom w:val="0"/>
      <w:divBdr>
        <w:top w:val="none" w:sz="0" w:space="0" w:color="auto"/>
        <w:left w:val="none" w:sz="0" w:space="0" w:color="auto"/>
        <w:bottom w:val="none" w:sz="0" w:space="0" w:color="auto"/>
        <w:right w:val="none" w:sz="0" w:space="0" w:color="auto"/>
      </w:divBdr>
    </w:div>
    <w:div w:id="123893781">
      <w:bodyDiv w:val="1"/>
      <w:marLeft w:val="0"/>
      <w:marRight w:val="0"/>
      <w:marTop w:val="0"/>
      <w:marBottom w:val="0"/>
      <w:divBdr>
        <w:top w:val="none" w:sz="0" w:space="0" w:color="auto"/>
        <w:left w:val="none" w:sz="0" w:space="0" w:color="auto"/>
        <w:bottom w:val="none" w:sz="0" w:space="0" w:color="auto"/>
        <w:right w:val="none" w:sz="0" w:space="0" w:color="auto"/>
      </w:divBdr>
    </w:div>
    <w:div w:id="131336446">
      <w:bodyDiv w:val="1"/>
      <w:marLeft w:val="0"/>
      <w:marRight w:val="0"/>
      <w:marTop w:val="0"/>
      <w:marBottom w:val="0"/>
      <w:divBdr>
        <w:top w:val="none" w:sz="0" w:space="0" w:color="auto"/>
        <w:left w:val="none" w:sz="0" w:space="0" w:color="auto"/>
        <w:bottom w:val="none" w:sz="0" w:space="0" w:color="auto"/>
        <w:right w:val="none" w:sz="0" w:space="0" w:color="auto"/>
      </w:divBdr>
    </w:div>
    <w:div w:id="202058510">
      <w:bodyDiv w:val="1"/>
      <w:marLeft w:val="0"/>
      <w:marRight w:val="0"/>
      <w:marTop w:val="0"/>
      <w:marBottom w:val="0"/>
      <w:divBdr>
        <w:top w:val="none" w:sz="0" w:space="0" w:color="auto"/>
        <w:left w:val="none" w:sz="0" w:space="0" w:color="auto"/>
        <w:bottom w:val="none" w:sz="0" w:space="0" w:color="auto"/>
        <w:right w:val="none" w:sz="0" w:space="0" w:color="auto"/>
      </w:divBdr>
    </w:div>
    <w:div w:id="202644634">
      <w:bodyDiv w:val="1"/>
      <w:marLeft w:val="0"/>
      <w:marRight w:val="0"/>
      <w:marTop w:val="0"/>
      <w:marBottom w:val="0"/>
      <w:divBdr>
        <w:top w:val="none" w:sz="0" w:space="0" w:color="auto"/>
        <w:left w:val="none" w:sz="0" w:space="0" w:color="auto"/>
        <w:bottom w:val="none" w:sz="0" w:space="0" w:color="auto"/>
        <w:right w:val="none" w:sz="0" w:space="0" w:color="auto"/>
      </w:divBdr>
    </w:div>
    <w:div w:id="223176854">
      <w:bodyDiv w:val="1"/>
      <w:marLeft w:val="0"/>
      <w:marRight w:val="0"/>
      <w:marTop w:val="0"/>
      <w:marBottom w:val="0"/>
      <w:divBdr>
        <w:top w:val="none" w:sz="0" w:space="0" w:color="auto"/>
        <w:left w:val="none" w:sz="0" w:space="0" w:color="auto"/>
        <w:bottom w:val="none" w:sz="0" w:space="0" w:color="auto"/>
        <w:right w:val="none" w:sz="0" w:space="0" w:color="auto"/>
      </w:divBdr>
    </w:div>
    <w:div w:id="232010456">
      <w:bodyDiv w:val="1"/>
      <w:marLeft w:val="0"/>
      <w:marRight w:val="0"/>
      <w:marTop w:val="0"/>
      <w:marBottom w:val="0"/>
      <w:divBdr>
        <w:top w:val="none" w:sz="0" w:space="0" w:color="auto"/>
        <w:left w:val="none" w:sz="0" w:space="0" w:color="auto"/>
        <w:bottom w:val="none" w:sz="0" w:space="0" w:color="auto"/>
        <w:right w:val="none" w:sz="0" w:space="0" w:color="auto"/>
      </w:divBdr>
    </w:div>
    <w:div w:id="257369073">
      <w:bodyDiv w:val="1"/>
      <w:marLeft w:val="0"/>
      <w:marRight w:val="0"/>
      <w:marTop w:val="0"/>
      <w:marBottom w:val="0"/>
      <w:divBdr>
        <w:top w:val="none" w:sz="0" w:space="0" w:color="auto"/>
        <w:left w:val="none" w:sz="0" w:space="0" w:color="auto"/>
        <w:bottom w:val="none" w:sz="0" w:space="0" w:color="auto"/>
        <w:right w:val="none" w:sz="0" w:space="0" w:color="auto"/>
      </w:divBdr>
    </w:div>
    <w:div w:id="294023966">
      <w:bodyDiv w:val="1"/>
      <w:marLeft w:val="0"/>
      <w:marRight w:val="0"/>
      <w:marTop w:val="0"/>
      <w:marBottom w:val="0"/>
      <w:divBdr>
        <w:top w:val="none" w:sz="0" w:space="0" w:color="auto"/>
        <w:left w:val="none" w:sz="0" w:space="0" w:color="auto"/>
        <w:bottom w:val="none" w:sz="0" w:space="0" w:color="auto"/>
        <w:right w:val="none" w:sz="0" w:space="0" w:color="auto"/>
      </w:divBdr>
    </w:div>
    <w:div w:id="296760119">
      <w:bodyDiv w:val="1"/>
      <w:marLeft w:val="0"/>
      <w:marRight w:val="0"/>
      <w:marTop w:val="0"/>
      <w:marBottom w:val="0"/>
      <w:divBdr>
        <w:top w:val="none" w:sz="0" w:space="0" w:color="auto"/>
        <w:left w:val="none" w:sz="0" w:space="0" w:color="auto"/>
        <w:bottom w:val="none" w:sz="0" w:space="0" w:color="auto"/>
        <w:right w:val="none" w:sz="0" w:space="0" w:color="auto"/>
      </w:divBdr>
    </w:div>
    <w:div w:id="314918546">
      <w:bodyDiv w:val="1"/>
      <w:marLeft w:val="0"/>
      <w:marRight w:val="0"/>
      <w:marTop w:val="0"/>
      <w:marBottom w:val="0"/>
      <w:divBdr>
        <w:top w:val="none" w:sz="0" w:space="0" w:color="auto"/>
        <w:left w:val="none" w:sz="0" w:space="0" w:color="auto"/>
        <w:bottom w:val="none" w:sz="0" w:space="0" w:color="auto"/>
        <w:right w:val="none" w:sz="0" w:space="0" w:color="auto"/>
      </w:divBdr>
      <w:divsChild>
        <w:div w:id="684673984">
          <w:marLeft w:val="0"/>
          <w:marRight w:val="0"/>
          <w:marTop w:val="0"/>
          <w:marBottom w:val="0"/>
          <w:divBdr>
            <w:top w:val="single" w:sz="2" w:space="0" w:color="auto"/>
            <w:left w:val="single" w:sz="2" w:space="0" w:color="auto"/>
            <w:bottom w:val="single" w:sz="2" w:space="0" w:color="auto"/>
            <w:right w:val="single" w:sz="2" w:space="0" w:color="auto"/>
          </w:divBdr>
        </w:div>
      </w:divsChild>
    </w:div>
    <w:div w:id="347560063">
      <w:bodyDiv w:val="1"/>
      <w:marLeft w:val="0"/>
      <w:marRight w:val="0"/>
      <w:marTop w:val="0"/>
      <w:marBottom w:val="0"/>
      <w:divBdr>
        <w:top w:val="none" w:sz="0" w:space="0" w:color="auto"/>
        <w:left w:val="none" w:sz="0" w:space="0" w:color="auto"/>
        <w:bottom w:val="none" w:sz="0" w:space="0" w:color="auto"/>
        <w:right w:val="none" w:sz="0" w:space="0" w:color="auto"/>
      </w:divBdr>
    </w:div>
    <w:div w:id="354697814">
      <w:bodyDiv w:val="1"/>
      <w:marLeft w:val="0"/>
      <w:marRight w:val="0"/>
      <w:marTop w:val="0"/>
      <w:marBottom w:val="0"/>
      <w:divBdr>
        <w:top w:val="none" w:sz="0" w:space="0" w:color="auto"/>
        <w:left w:val="none" w:sz="0" w:space="0" w:color="auto"/>
        <w:bottom w:val="none" w:sz="0" w:space="0" w:color="auto"/>
        <w:right w:val="none" w:sz="0" w:space="0" w:color="auto"/>
      </w:divBdr>
      <w:divsChild>
        <w:div w:id="1450539961">
          <w:marLeft w:val="0"/>
          <w:marRight w:val="0"/>
          <w:marTop w:val="0"/>
          <w:marBottom w:val="0"/>
          <w:divBdr>
            <w:top w:val="none" w:sz="0" w:space="0" w:color="auto"/>
            <w:left w:val="none" w:sz="0" w:space="0" w:color="auto"/>
            <w:bottom w:val="none" w:sz="0" w:space="0" w:color="auto"/>
            <w:right w:val="none" w:sz="0" w:space="0" w:color="auto"/>
          </w:divBdr>
          <w:divsChild>
            <w:div w:id="404764663">
              <w:marLeft w:val="0"/>
              <w:marRight w:val="0"/>
              <w:marTop w:val="0"/>
              <w:marBottom w:val="0"/>
              <w:divBdr>
                <w:top w:val="none" w:sz="0" w:space="0" w:color="auto"/>
                <w:left w:val="none" w:sz="0" w:space="0" w:color="auto"/>
                <w:bottom w:val="none" w:sz="0" w:space="0" w:color="auto"/>
                <w:right w:val="none" w:sz="0" w:space="0" w:color="auto"/>
              </w:divBdr>
              <w:divsChild>
                <w:div w:id="1167864386">
                  <w:marLeft w:val="0"/>
                  <w:marRight w:val="0"/>
                  <w:marTop w:val="0"/>
                  <w:marBottom w:val="0"/>
                  <w:divBdr>
                    <w:top w:val="none" w:sz="0" w:space="0" w:color="auto"/>
                    <w:left w:val="none" w:sz="0" w:space="0" w:color="auto"/>
                    <w:bottom w:val="none" w:sz="0" w:space="0" w:color="auto"/>
                    <w:right w:val="none" w:sz="0" w:space="0" w:color="auto"/>
                  </w:divBdr>
                </w:div>
              </w:divsChild>
            </w:div>
            <w:div w:id="563106397">
              <w:marLeft w:val="0"/>
              <w:marRight w:val="0"/>
              <w:marTop w:val="0"/>
              <w:marBottom w:val="0"/>
              <w:divBdr>
                <w:top w:val="none" w:sz="0" w:space="0" w:color="auto"/>
                <w:left w:val="none" w:sz="0" w:space="0" w:color="auto"/>
                <w:bottom w:val="none" w:sz="0" w:space="0" w:color="auto"/>
                <w:right w:val="none" w:sz="0" w:space="0" w:color="auto"/>
              </w:divBdr>
              <w:divsChild>
                <w:div w:id="1498110950">
                  <w:marLeft w:val="0"/>
                  <w:marRight w:val="0"/>
                  <w:marTop w:val="0"/>
                  <w:marBottom w:val="0"/>
                  <w:divBdr>
                    <w:top w:val="none" w:sz="0" w:space="0" w:color="auto"/>
                    <w:left w:val="none" w:sz="0" w:space="0" w:color="auto"/>
                    <w:bottom w:val="none" w:sz="0" w:space="0" w:color="auto"/>
                    <w:right w:val="none" w:sz="0" w:space="0" w:color="auto"/>
                  </w:divBdr>
                </w:div>
              </w:divsChild>
            </w:div>
            <w:div w:id="706176249">
              <w:marLeft w:val="0"/>
              <w:marRight w:val="0"/>
              <w:marTop w:val="0"/>
              <w:marBottom w:val="0"/>
              <w:divBdr>
                <w:top w:val="none" w:sz="0" w:space="0" w:color="auto"/>
                <w:left w:val="none" w:sz="0" w:space="0" w:color="auto"/>
                <w:bottom w:val="none" w:sz="0" w:space="0" w:color="auto"/>
                <w:right w:val="none" w:sz="0" w:space="0" w:color="auto"/>
              </w:divBdr>
              <w:divsChild>
                <w:div w:id="1387992623">
                  <w:marLeft w:val="0"/>
                  <w:marRight w:val="0"/>
                  <w:marTop w:val="0"/>
                  <w:marBottom w:val="0"/>
                  <w:divBdr>
                    <w:top w:val="none" w:sz="0" w:space="0" w:color="auto"/>
                    <w:left w:val="none" w:sz="0" w:space="0" w:color="auto"/>
                    <w:bottom w:val="none" w:sz="0" w:space="0" w:color="auto"/>
                    <w:right w:val="none" w:sz="0" w:space="0" w:color="auto"/>
                  </w:divBdr>
                </w:div>
              </w:divsChild>
            </w:div>
            <w:div w:id="794250917">
              <w:marLeft w:val="0"/>
              <w:marRight w:val="0"/>
              <w:marTop w:val="0"/>
              <w:marBottom w:val="0"/>
              <w:divBdr>
                <w:top w:val="none" w:sz="0" w:space="0" w:color="auto"/>
                <w:left w:val="none" w:sz="0" w:space="0" w:color="auto"/>
                <w:bottom w:val="none" w:sz="0" w:space="0" w:color="auto"/>
                <w:right w:val="none" w:sz="0" w:space="0" w:color="auto"/>
              </w:divBdr>
              <w:divsChild>
                <w:div w:id="1985506079">
                  <w:marLeft w:val="0"/>
                  <w:marRight w:val="0"/>
                  <w:marTop w:val="0"/>
                  <w:marBottom w:val="0"/>
                  <w:divBdr>
                    <w:top w:val="none" w:sz="0" w:space="0" w:color="auto"/>
                    <w:left w:val="none" w:sz="0" w:space="0" w:color="auto"/>
                    <w:bottom w:val="none" w:sz="0" w:space="0" w:color="auto"/>
                    <w:right w:val="none" w:sz="0" w:space="0" w:color="auto"/>
                  </w:divBdr>
                </w:div>
              </w:divsChild>
            </w:div>
            <w:div w:id="961307536">
              <w:marLeft w:val="0"/>
              <w:marRight w:val="0"/>
              <w:marTop w:val="0"/>
              <w:marBottom w:val="0"/>
              <w:divBdr>
                <w:top w:val="none" w:sz="0" w:space="0" w:color="auto"/>
                <w:left w:val="none" w:sz="0" w:space="0" w:color="auto"/>
                <w:bottom w:val="none" w:sz="0" w:space="0" w:color="auto"/>
                <w:right w:val="none" w:sz="0" w:space="0" w:color="auto"/>
              </w:divBdr>
              <w:divsChild>
                <w:div w:id="424880139">
                  <w:marLeft w:val="0"/>
                  <w:marRight w:val="0"/>
                  <w:marTop w:val="0"/>
                  <w:marBottom w:val="0"/>
                  <w:divBdr>
                    <w:top w:val="none" w:sz="0" w:space="0" w:color="auto"/>
                    <w:left w:val="none" w:sz="0" w:space="0" w:color="auto"/>
                    <w:bottom w:val="none" w:sz="0" w:space="0" w:color="auto"/>
                    <w:right w:val="none" w:sz="0" w:space="0" w:color="auto"/>
                  </w:divBdr>
                </w:div>
              </w:divsChild>
            </w:div>
            <w:div w:id="1026326192">
              <w:marLeft w:val="0"/>
              <w:marRight w:val="0"/>
              <w:marTop w:val="0"/>
              <w:marBottom w:val="0"/>
              <w:divBdr>
                <w:top w:val="none" w:sz="0" w:space="0" w:color="auto"/>
                <w:left w:val="none" w:sz="0" w:space="0" w:color="auto"/>
                <w:bottom w:val="none" w:sz="0" w:space="0" w:color="auto"/>
                <w:right w:val="none" w:sz="0" w:space="0" w:color="auto"/>
              </w:divBdr>
              <w:divsChild>
                <w:div w:id="1498377322">
                  <w:marLeft w:val="0"/>
                  <w:marRight w:val="0"/>
                  <w:marTop w:val="0"/>
                  <w:marBottom w:val="0"/>
                  <w:divBdr>
                    <w:top w:val="none" w:sz="0" w:space="0" w:color="auto"/>
                    <w:left w:val="none" w:sz="0" w:space="0" w:color="auto"/>
                    <w:bottom w:val="none" w:sz="0" w:space="0" w:color="auto"/>
                    <w:right w:val="none" w:sz="0" w:space="0" w:color="auto"/>
                  </w:divBdr>
                </w:div>
              </w:divsChild>
            </w:div>
            <w:div w:id="1048842691">
              <w:marLeft w:val="0"/>
              <w:marRight w:val="0"/>
              <w:marTop w:val="0"/>
              <w:marBottom w:val="0"/>
              <w:divBdr>
                <w:top w:val="none" w:sz="0" w:space="0" w:color="auto"/>
                <w:left w:val="none" w:sz="0" w:space="0" w:color="auto"/>
                <w:bottom w:val="none" w:sz="0" w:space="0" w:color="auto"/>
                <w:right w:val="none" w:sz="0" w:space="0" w:color="auto"/>
              </w:divBdr>
              <w:divsChild>
                <w:div w:id="662127292">
                  <w:marLeft w:val="0"/>
                  <w:marRight w:val="0"/>
                  <w:marTop w:val="0"/>
                  <w:marBottom w:val="0"/>
                  <w:divBdr>
                    <w:top w:val="none" w:sz="0" w:space="0" w:color="auto"/>
                    <w:left w:val="none" w:sz="0" w:space="0" w:color="auto"/>
                    <w:bottom w:val="none" w:sz="0" w:space="0" w:color="auto"/>
                    <w:right w:val="none" w:sz="0" w:space="0" w:color="auto"/>
                  </w:divBdr>
                </w:div>
              </w:divsChild>
            </w:div>
            <w:div w:id="1087386582">
              <w:marLeft w:val="0"/>
              <w:marRight w:val="0"/>
              <w:marTop w:val="0"/>
              <w:marBottom w:val="0"/>
              <w:divBdr>
                <w:top w:val="none" w:sz="0" w:space="0" w:color="auto"/>
                <w:left w:val="none" w:sz="0" w:space="0" w:color="auto"/>
                <w:bottom w:val="none" w:sz="0" w:space="0" w:color="auto"/>
                <w:right w:val="none" w:sz="0" w:space="0" w:color="auto"/>
              </w:divBdr>
              <w:divsChild>
                <w:div w:id="833957142">
                  <w:marLeft w:val="0"/>
                  <w:marRight w:val="0"/>
                  <w:marTop w:val="0"/>
                  <w:marBottom w:val="0"/>
                  <w:divBdr>
                    <w:top w:val="none" w:sz="0" w:space="0" w:color="auto"/>
                    <w:left w:val="none" w:sz="0" w:space="0" w:color="auto"/>
                    <w:bottom w:val="none" w:sz="0" w:space="0" w:color="auto"/>
                    <w:right w:val="none" w:sz="0" w:space="0" w:color="auto"/>
                  </w:divBdr>
                </w:div>
              </w:divsChild>
            </w:div>
            <w:div w:id="1144348416">
              <w:marLeft w:val="0"/>
              <w:marRight w:val="0"/>
              <w:marTop w:val="0"/>
              <w:marBottom w:val="0"/>
              <w:divBdr>
                <w:top w:val="none" w:sz="0" w:space="0" w:color="auto"/>
                <w:left w:val="none" w:sz="0" w:space="0" w:color="auto"/>
                <w:bottom w:val="none" w:sz="0" w:space="0" w:color="auto"/>
                <w:right w:val="none" w:sz="0" w:space="0" w:color="auto"/>
              </w:divBdr>
              <w:divsChild>
                <w:div w:id="355615340">
                  <w:marLeft w:val="0"/>
                  <w:marRight w:val="0"/>
                  <w:marTop w:val="0"/>
                  <w:marBottom w:val="0"/>
                  <w:divBdr>
                    <w:top w:val="none" w:sz="0" w:space="0" w:color="auto"/>
                    <w:left w:val="none" w:sz="0" w:space="0" w:color="auto"/>
                    <w:bottom w:val="none" w:sz="0" w:space="0" w:color="auto"/>
                    <w:right w:val="none" w:sz="0" w:space="0" w:color="auto"/>
                  </w:divBdr>
                </w:div>
              </w:divsChild>
            </w:div>
            <w:div w:id="1207335456">
              <w:marLeft w:val="0"/>
              <w:marRight w:val="0"/>
              <w:marTop w:val="0"/>
              <w:marBottom w:val="0"/>
              <w:divBdr>
                <w:top w:val="none" w:sz="0" w:space="0" w:color="auto"/>
                <w:left w:val="none" w:sz="0" w:space="0" w:color="auto"/>
                <w:bottom w:val="none" w:sz="0" w:space="0" w:color="auto"/>
                <w:right w:val="none" w:sz="0" w:space="0" w:color="auto"/>
              </w:divBdr>
              <w:divsChild>
                <w:div w:id="26033855">
                  <w:marLeft w:val="0"/>
                  <w:marRight w:val="0"/>
                  <w:marTop w:val="0"/>
                  <w:marBottom w:val="0"/>
                  <w:divBdr>
                    <w:top w:val="none" w:sz="0" w:space="0" w:color="auto"/>
                    <w:left w:val="none" w:sz="0" w:space="0" w:color="auto"/>
                    <w:bottom w:val="none" w:sz="0" w:space="0" w:color="auto"/>
                    <w:right w:val="none" w:sz="0" w:space="0" w:color="auto"/>
                  </w:divBdr>
                </w:div>
              </w:divsChild>
            </w:div>
            <w:div w:id="1409503131">
              <w:marLeft w:val="0"/>
              <w:marRight w:val="0"/>
              <w:marTop w:val="0"/>
              <w:marBottom w:val="0"/>
              <w:divBdr>
                <w:top w:val="none" w:sz="0" w:space="0" w:color="auto"/>
                <w:left w:val="none" w:sz="0" w:space="0" w:color="auto"/>
                <w:bottom w:val="none" w:sz="0" w:space="0" w:color="auto"/>
                <w:right w:val="none" w:sz="0" w:space="0" w:color="auto"/>
              </w:divBdr>
              <w:divsChild>
                <w:div w:id="561447615">
                  <w:marLeft w:val="0"/>
                  <w:marRight w:val="0"/>
                  <w:marTop w:val="0"/>
                  <w:marBottom w:val="0"/>
                  <w:divBdr>
                    <w:top w:val="none" w:sz="0" w:space="0" w:color="auto"/>
                    <w:left w:val="none" w:sz="0" w:space="0" w:color="auto"/>
                    <w:bottom w:val="none" w:sz="0" w:space="0" w:color="auto"/>
                    <w:right w:val="none" w:sz="0" w:space="0" w:color="auto"/>
                  </w:divBdr>
                </w:div>
              </w:divsChild>
            </w:div>
            <w:div w:id="1443374851">
              <w:marLeft w:val="0"/>
              <w:marRight w:val="0"/>
              <w:marTop w:val="0"/>
              <w:marBottom w:val="0"/>
              <w:divBdr>
                <w:top w:val="none" w:sz="0" w:space="0" w:color="auto"/>
                <w:left w:val="none" w:sz="0" w:space="0" w:color="auto"/>
                <w:bottom w:val="none" w:sz="0" w:space="0" w:color="auto"/>
                <w:right w:val="none" w:sz="0" w:space="0" w:color="auto"/>
              </w:divBdr>
              <w:divsChild>
                <w:div w:id="987051878">
                  <w:marLeft w:val="0"/>
                  <w:marRight w:val="0"/>
                  <w:marTop w:val="0"/>
                  <w:marBottom w:val="0"/>
                  <w:divBdr>
                    <w:top w:val="none" w:sz="0" w:space="0" w:color="auto"/>
                    <w:left w:val="none" w:sz="0" w:space="0" w:color="auto"/>
                    <w:bottom w:val="none" w:sz="0" w:space="0" w:color="auto"/>
                    <w:right w:val="none" w:sz="0" w:space="0" w:color="auto"/>
                  </w:divBdr>
                </w:div>
              </w:divsChild>
            </w:div>
            <w:div w:id="1504853421">
              <w:marLeft w:val="0"/>
              <w:marRight w:val="0"/>
              <w:marTop w:val="0"/>
              <w:marBottom w:val="0"/>
              <w:divBdr>
                <w:top w:val="none" w:sz="0" w:space="0" w:color="auto"/>
                <w:left w:val="none" w:sz="0" w:space="0" w:color="auto"/>
                <w:bottom w:val="none" w:sz="0" w:space="0" w:color="auto"/>
                <w:right w:val="none" w:sz="0" w:space="0" w:color="auto"/>
              </w:divBdr>
              <w:divsChild>
                <w:div w:id="927269707">
                  <w:marLeft w:val="0"/>
                  <w:marRight w:val="0"/>
                  <w:marTop w:val="0"/>
                  <w:marBottom w:val="0"/>
                  <w:divBdr>
                    <w:top w:val="none" w:sz="0" w:space="0" w:color="auto"/>
                    <w:left w:val="none" w:sz="0" w:space="0" w:color="auto"/>
                    <w:bottom w:val="none" w:sz="0" w:space="0" w:color="auto"/>
                    <w:right w:val="none" w:sz="0" w:space="0" w:color="auto"/>
                  </w:divBdr>
                </w:div>
              </w:divsChild>
            </w:div>
            <w:div w:id="1658725260">
              <w:marLeft w:val="0"/>
              <w:marRight w:val="0"/>
              <w:marTop w:val="0"/>
              <w:marBottom w:val="0"/>
              <w:divBdr>
                <w:top w:val="none" w:sz="0" w:space="0" w:color="auto"/>
                <w:left w:val="none" w:sz="0" w:space="0" w:color="auto"/>
                <w:bottom w:val="none" w:sz="0" w:space="0" w:color="auto"/>
                <w:right w:val="none" w:sz="0" w:space="0" w:color="auto"/>
              </w:divBdr>
              <w:divsChild>
                <w:div w:id="790586781">
                  <w:marLeft w:val="0"/>
                  <w:marRight w:val="0"/>
                  <w:marTop w:val="0"/>
                  <w:marBottom w:val="0"/>
                  <w:divBdr>
                    <w:top w:val="none" w:sz="0" w:space="0" w:color="auto"/>
                    <w:left w:val="none" w:sz="0" w:space="0" w:color="auto"/>
                    <w:bottom w:val="none" w:sz="0" w:space="0" w:color="auto"/>
                    <w:right w:val="none" w:sz="0" w:space="0" w:color="auto"/>
                  </w:divBdr>
                </w:div>
                <w:div w:id="1816797289">
                  <w:marLeft w:val="0"/>
                  <w:marRight w:val="0"/>
                  <w:marTop w:val="0"/>
                  <w:marBottom w:val="0"/>
                  <w:divBdr>
                    <w:top w:val="none" w:sz="0" w:space="0" w:color="auto"/>
                    <w:left w:val="none" w:sz="0" w:space="0" w:color="auto"/>
                    <w:bottom w:val="none" w:sz="0" w:space="0" w:color="auto"/>
                    <w:right w:val="none" w:sz="0" w:space="0" w:color="auto"/>
                  </w:divBdr>
                </w:div>
              </w:divsChild>
            </w:div>
            <w:div w:id="1675377808">
              <w:marLeft w:val="0"/>
              <w:marRight w:val="0"/>
              <w:marTop w:val="0"/>
              <w:marBottom w:val="0"/>
              <w:divBdr>
                <w:top w:val="none" w:sz="0" w:space="0" w:color="auto"/>
                <w:left w:val="none" w:sz="0" w:space="0" w:color="auto"/>
                <w:bottom w:val="none" w:sz="0" w:space="0" w:color="auto"/>
                <w:right w:val="none" w:sz="0" w:space="0" w:color="auto"/>
              </w:divBdr>
              <w:divsChild>
                <w:div w:id="401104258">
                  <w:marLeft w:val="0"/>
                  <w:marRight w:val="0"/>
                  <w:marTop w:val="0"/>
                  <w:marBottom w:val="0"/>
                  <w:divBdr>
                    <w:top w:val="none" w:sz="0" w:space="0" w:color="auto"/>
                    <w:left w:val="none" w:sz="0" w:space="0" w:color="auto"/>
                    <w:bottom w:val="none" w:sz="0" w:space="0" w:color="auto"/>
                    <w:right w:val="none" w:sz="0" w:space="0" w:color="auto"/>
                  </w:divBdr>
                </w:div>
              </w:divsChild>
            </w:div>
            <w:div w:id="1735278457">
              <w:marLeft w:val="0"/>
              <w:marRight w:val="0"/>
              <w:marTop w:val="0"/>
              <w:marBottom w:val="0"/>
              <w:divBdr>
                <w:top w:val="none" w:sz="0" w:space="0" w:color="auto"/>
                <w:left w:val="none" w:sz="0" w:space="0" w:color="auto"/>
                <w:bottom w:val="none" w:sz="0" w:space="0" w:color="auto"/>
                <w:right w:val="none" w:sz="0" w:space="0" w:color="auto"/>
              </w:divBdr>
              <w:divsChild>
                <w:div w:id="1432359666">
                  <w:marLeft w:val="0"/>
                  <w:marRight w:val="0"/>
                  <w:marTop w:val="0"/>
                  <w:marBottom w:val="0"/>
                  <w:divBdr>
                    <w:top w:val="none" w:sz="0" w:space="0" w:color="auto"/>
                    <w:left w:val="none" w:sz="0" w:space="0" w:color="auto"/>
                    <w:bottom w:val="none" w:sz="0" w:space="0" w:color="auto"/>
                    <w:right w:val="none" w:sz="0" w:space="0" w:color="auto"/>
                  </w:divBdr>
                </w:div>
              </w:divsChild>
            </w:div>
            <w:div w:id="1900550302">
              <w:marLeft w:val="0"/>
              <w:marRight w:val="0"/>
              <w:marTop w:val="0"/>
              <w:marBottom w:val="0"/>
              <w:divBdr>
                <w:top w:val="none" w:sz="0" w:space="0" w:color="auto"/>
                <w:left w:val="none" w:sz="0" w:space="0" w:color="auto"/>
                <w:bottom w:val="none" w:sz="0" w:space="0" w:color="auto"/>
                <w:right w:val="none" w:sz="0" w:space="0" w:color="auto"/>
              </w:divBdr>
              <w:divsChild>
                <w:div w:id="958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554">
      <w:bodyDiv w:val="1"/>
      <w:marLeft w:val="0"/>
      <w:marRight w:val="0"/>
      <w:marTop w:val="0"/>
      <w:marBottom w:val="0"/>
      <w:divBdr>
        <w:top w:val="none" w:sz="0" w:space="0" w:color="auto"/>
        <w:left w:val="none" w:sz="0" w:space="0" w:color="auto"/>
        <w:bottom w:val="none" w:sz="0" w:space="0" w:color="auto"/>
        <w:right w:val="none" w:sz="0" w:space="0" w:color="auto"/>
      </w:divBdr>
    </w:div>
    <w:div w:id="383915093">
      <w:bodyDiv w:val="1"/>
      <w:marLeft w:val="0"/>
      <w:marRight w:val="0"/>
      <w:marTop w:val="0"/>
      <w:marBottom w:val="0"/>
      <w:divBdr>
        <w:top w:val="none" w:sz="0" w:space="0" w:color="auto"/>
        <w:left w:val="none" w:sz="0" w:space="0" w:color="auto"/>
        <w:bottom w:val="none" w:sz="0" w:space="0" w:color="auto"/>
        <w:right w:val="none" w:sz="0" w:space="0" w:color="auto"/>
      </w:divBdr>
    </w:div>
    <w:div w:id="398674259">
      <w:bodyDiv w:val="1"/>
      <w:marLeft w:val="0"/>
      <w:marRight w:val="0"/>
      <w:marTop w:val="0"/>
      <w:marBottom w:val="0"/>
      <w:divBdr>
        <w:top w:val="none" w:sz="0" w:space="0" w:color="auto"/>
        <w:left w:val="none" w:sz="0" w:space="0" w:color="auto"/>
        <w:bottom w:val="none" w:sz="0" w:space="0" w:color="auto"/>
        <w:right w:val="none" w:sz="0" w:space="0" w:color="auto"/>
      </w:divBdr>
      <w:divsChild>
        <w:div w:id="15694912">
          <w:marLeft w:val="0"/>
          <w:marRight w:val="0"/>
          <w:marTop w:val="0"/>
          <w:marBottom w:val="0"/>
          <w:divBdr>
            <w:top w:val="none" w:sz="0" w:space="0" w:color="auto"/>
            <w:left w:val="none" w:sz="0" w:space="0" w:color="auto"/>
            <w:bottom w:val="none" w:sz="0" w:space="0" w:color="auto"/>
            <w:right w:val="none" w:sz="0" w:space="0" w:color="auto"/>
          </w:divBdr>
        </w:div>
        <w:div w:id="1313603741">
          <w:marLeft w:val="0"/>
          <w:marRight w:val="0"/>
          <w:marTop w:val="0"/>
          <w:marBottom w:val="0"/>
          <w:divBdr>
            <w:top w:val="none" w:sz="0" w:space="0" w:color="auto"/>
            <w:left w:val="none" w:sz="0" w:space="0" w:color="auto"/>
            <w:bottom w:val="none" w:sz="0" w:space="0" w:color="auto"/>
            <w:right w:val="none" w:sz="0" w:space="0" w:color="auto"/>
          </w:divBdr>
        </w:div>
        <w:div w:id="237176629">
          <w:marLeft w:val="0"/>
          <w:marRight w:val="0"/>
          <w:marTop w:val="0"/>
          <w:marBottom w:val="0"/>
          <w:divBdr>
            <w:top w:val="none" w:sz="0" w:space="0" w:color="auto"/>
            <w:left w:val="none" w:sz="0" w:space="0" w:color="auto"/>
            <w:bottom w:val="none" w:sz="0" w:space="0" w:color="auto"/>
            <w:right w:val="none" w:sz="0" w:space="0" w:color="auto"/>
          </w:divBdr>
        </w:div>
        <w:div w:id="288828358">
          <w:marLeft w:val="0"/>
          <w:marRight w:val="0"/>
          <w:marTop w:val="0"/>
          <w:marBottom w:val="0"/>
          <w:divBdr>
            <w:top w:val="none" w:sz="0" w:space="0" w:color="auto"/>
            <w:left w:val="none" w:sz="0" w:space="0" w:color="auto"/>
            <w:bottom w:val="none" w:sz="0" w:space="0" w:color="auto"/>
            <w:right w:val="none" w:sz="0" w:space="0" w:color="auto"/>
          </w:divBdr>
        </w:div>
        <w:div w:id="1343439130">
          <w:marLeft w:val="0"/>
          <w:marRight w:val="0"/>
          <w:marTop w:val="0"/>
          <w:marBottom w:val="0"/>
          <w:divBdr>
            <w:top w:val="none" w:sz="0" w:space="0" w:color="auto"/>
            <w:left w:val="none" w:sz="0" w:space="0" w:color="auto"/>
            <w:bottom w:val="none" w:sz="0" w:space="0" w:color="auto"/>
            <w:right w:val="none" w:sz="0" w:space="0" w:color="auto"/>
          </w:divBdr>
        </w:div>
        <w:div w:id="611321450">
          <w:marLeft w:val="0"/>
          <w:marRight w:val="0"/>
          <w:marTop w:val="0"/>
          <w:marBottom w:val="0"/>
          <w:divBdr>
            <w:top w:val="none" w:sz="0" w:space="0" w:color="auto"/>
            <w:left w:val="none" w:sz="0" w:space="0" w:color="auto"/>
            <w:bottom w:val="none" w:sz="0" w:space="0" w:color="auto"/>
            <w:right w:val="none" w:sz="0" w:space="0" w:color="auto"/>
          </w:divBdr>
        </w:div>
      </w:divsChild>
    </w:div>
    <w:div w:id="415903078">
      <w:bodyDiv w:val="1"/>
      <w:marLeft w:val="0"/>
      <w:marRight w:val="0"/>
      <w:marTop w:val="0"/>
      <w:marBottom w:val="0"/>
      <w:divBdr>
        <w:top w:val="none" w:sz="0" w:space="0" w:color="auto"/>
        <w:left w:val="none" w:sz="0" w:space="0" w:color="auto"/>
        <w:bottom w:val="none" w:sz="0" w:space="0" w:color="auto"/>
        <w:right w:val="none" w:sz="0" w:space="0" w:color="auto"/>
      </w:divBdr>
    </w:div>
    <w:div w:id="460543030">
      <w:bodyDiv w:val="1"/>
      <w:marLeft w:val="0"/>
      <w:marRight w:val="0"/>
      <w:marTop w:val="0"/>
      <w:marBottom w:val="0"/>
      <w:divBdr>
        <w:top w:val="none" w:sz="0" w:space="0" w:color="auto"/>
        <w:left w:val="none" w:sz="0" w:space="0" w:color="auto"/>
        <w:bottom w:val="none" w:sz="0" w:space="0" w:color="auto"/>
        <w:right w:val="none" w:sz="0" w:space="0" w:color="auto"/>
      </w:divBdr>
      <w:divsChild>
        <w:div w:id="102501090">
          <w:marLeft w:val="0"/>
          <w:marRight w:val="0"/>
          <w:marTop w:val="0"/>
          <w:marBottom w:val="0"/>
          <w:divBdr>
            <w:top w:val="none" w:sz="0" w:space="0" w:color="auto"/>
            <w:left w:val="none" w:sz="0" w:space="0" w:color="auto"/>
            <w:bottom w:val="none" w:sz="0" w:space="0" w:color="auto"/>
            <w:right w:val="none" w:sz="0" w:space="0" w:color="auto"/>
          </w:divBdr>
          <w:divsChild>
            <w:div w:id="36317540">
              <w:marLeft w:val="0"/>
              <w:marRight w:val="0"/>
              <w:marTop w:val="0"/>
              <w:marBottom w:val="0"/>
              <w:divBdr>
                <w:top w:val="none" w:sz="0" w:space="0" w:color="auto"/>
                <w:left w:val="none" w:sz="0" w:space="0" w:color="auto"/>
                <w:bottom w:val="none" w:sz="0" w:space="0" w:color="auto"/>
                <w:right w:val="none" w:sz="0" w:space="0" w:color="auto"/>
              </w:divBdr>
              <w:divsChild>
                <w:div w:id="840659422">
                  <w:marLeft w:val="0"/>
                  <w:marRight w:val="0"/>
                  <w:marTop w:val="0"/>
                  <w:marBottom w:val="0"/>
                  <w:divBdr>
                    <w:top w:val="none" w:sz="0" w:space="0" w:color="auto"/>
                    <w:left w:val="none" w:sz="0" w:space="0" w:color="auto"/>
                    <w:bottom w:val="none" w:sz="0" w:space="0" w:color="auto"/>
                    <w:right w:val="none" w:sz="0" w:space="0" w:color="auto"/>
                  </w:divBdr>
                </w:div>
              </w:divsChild>
            </w:div>
            <w:div w:id="99185358">
              <w:marLeft w:val="0"/>
              <w:marRight w:val="0"/>
              <w:marTop w:val="0"/>
              <w:marBottom w:val="0"/>
              <w:divBdr>
                <w:top w:val="none" w:sz="0" w:space="0" w:color="auto"/>
                <w:left w:val="none" w:sz="0" w:space="0" w:color="auto"/>
                <w:bottom w:val="none" w:sz="0" w:space="0" w:color="auto"/>
                <w:right w:val="none" w:sz="0" w:space="0" w:color="auto"/>
              </w:divBdr>
              <w:divsChild>
                <w:div w:id="1964730499">
                  <w:marLeft w:val="0"/>
                  <w:marRight w:val="0"/>
                  <w:marTop w:val="0"/>
                  <w:marBottom w:val="0"/>
                  <w:divBdr>
                    <w:top w:val="none" w:sz="0" w:space="0" w:color="auto"/>
                    <w:left w:val="none" w:sz="0" w:space="0" w:color="auto"/>
                    <w:bottom w:val="none" w:sz="0" w:space="0" w:color="auto"/>
                    <w:right w:val="none" w:sz="0" w:space="0" w:color="auto"/>
                  </w:divBdr>
                </w:div>
              </w:divsChild>
            </w:div>
            <w:div w:id="132911787">
              <w:marLeft w:val="0"/>
              <w:marRight w:val="0"/>
              <w:marTop w:val="0"/>
              <w:marBottom w:val="0"/>
              <w:divBdr>
                <w:top w:val="none" w:sz="0" w:space="0" w:color="auto"/>
                <w:left w:val="none" w:sz="0" w:space="0" w:color="auto"/>
                <w:bottom w:val="none" w:sz="0" w:space="0" w:color="auto"/>
                <w:right w:val="none" w:sz="0" w:space="0" w:color="auto"/>
              </w:divBdr>
              <w:divsChild>
                <w:div w:id="1916160015">
                  <w:marLeft w:val="0"/>
                  <w:marRight w:val="0"/>
                  <w:marTop w:val="0"/>
                  <w:marBottom w:val="0"/>
                  <w:divBdr>
                    <w:top w:val="none" w:sz="0" w:space="0" w:color="auto"/>
                    <w:left w:val="none" w:sz="0" w:space="0" w:color="auto"/>
                    <w:bottom w:val="none" w:sz="0" w:space="0" w:color="auto"/>
                    <w:right w:val="none" w:sz="0" w:space="0" w:color="auto"/>
                  </w:divBdr>
                </w:div>
              </w:divsChild>
            </w:div>
            <w:div w:id="162277971">
              <w:marLeft w:val="0"/>
              <w:marRight w:val="0"/>
              <w:marTop w:val="0"/>
              <w:marBottom w:val="0"/>
              <w:divBdr>
                <w:top w:val="none" w:sz="0" w:space="0" w:color="auto"/>
                <w:left w:val="none" w:sz="0" w:space="0" w:color="auto"/>
                <w:bottom w:val="none" w:sz="0" w:space="0" w:color="auto"/>
                <w:right w:val="none" w:sz="0" w:space="0" w:color="auto"/>
              </w:divBdr>
              <w:divsChild>
                <w:div w:id="23291321">
                  <w:marLeft w:val="0"/>
                  <w:marRight w:val="0"/>
                  <w:marTop w:val="0"/>
                  <w:marBottom w:val="0"/>
                  <w:divBdr>
                    <w:top w:val="none" w:sz="0" w:space="0" w:color="auto"/>
                    <w:left w:val="none" w:sz="0" w:space="0" w:color="auto"/>
                    <w:bottom w:val="none" w:sz="0" w:space="0" w:color="auto"/>
                    <w:right w:val="none" w:sz="0" w:space="0" w:color="auto"/>
                  </w:divBdr>
                </w:div>
              </w:divsChild>
            </w:div>
            <w:div w:id="333146114">
              <w:marLeft w:val="0"/>
              <w:marRight w:val="0"/>
              <w:marTop w:val="0"/>
              <w:marBottom w:val="0"/>
              <w:divBdr>
                <w:top w:val="none" w:sz="0" w:space="0" w:color="auto"/>
                <w:left w:val="none" w:sz="0" w:space="0" w:color="auto"/>
                <w:bottom w:val="none" w:sz="0" w:space="0" w:color="auto"/>
                <w:right w:val="none" w:sz="0" w:space="0" w:color="auto"/>
              </w:divBdr>
              <w:divsChild>
                <w:div w:id="1137602185">
                  <w:marLeft w:val="0"/>
                  <w:marRight w:val="0"/>
                  <w:marTop w:val="0"/>
                  <w:marBottom w:val="0"/>
                  <w:divBdr>
                    <w:top w:val="none" w:sz="0" w:space="0" w:color="auto"/>
                    <w:left w:val="none" w:sz="0" w:space="0" w:color="auto"/>
                    <w:bottom w:val="none" w:sz="0" w:space="0" w:color="auto"/>
                    <w:right w:val="none" w:sz="0" w:space="0" w:color="auto"/>
                  </w:divBdr>
                </w:div>
              </w:divsChild>
            </w:div>
            <w:div w:id="513762588">
              <w:marLeft w:val="0"/>
              <w:marRight w:val="0"/>
              <w:marTop w:val="0"/>
              <w:marBottom w:val="0"/>
              <w:divBdr>
                <w:top w:val="none" w:sz="0" w:space="0" w:color="auto"/>
                <w:left w:val="none" w:sz="0" w:space="0" w:color="auto"/>
                <w:bottom w:val="none" w:sz="0" w:space="0" w:color="auto"/>
                <w:right w:val="none" w:sz="0" w:space="0" w:color="auto"/>
              </w:divBdr>
              <w:divsChild>
                <w:div w:id="657882197">
                  <w:marLeft w:val="0"/>
                  <w:marRight w:val="0"/>
                  <w:marTop w:val="0"/>
                  <w:marBottom w:val="0"/>
                  <w:divBdr>
                    <w:top w:val="none" w:sz="0" w:space="0" w:color="auto"/>
                    <w:left w:val="none" w:sz="0" w:space="0" w:color="auto"/>
                    <w:bottom w:val="none" w:sz="0" w:space="0" w:color="auto"/>
                    <w:right w:val="none" w:sz="0" w:space="0" w:color="auto"/>
                  </w:divBdr>
                </w:div>
                <w:div w:id="2120642919">
                  <w:marLeft w:val="0"/>
                  <w:marRight w:val="0"/>
                  <w:marTop w:val="0"/>
                  <w:marBottom w:val="0"/>
                  <w:divBdr>
                    <w:top w:val="none" w:sz="0" w:space="0" w:color="auto"/>
                    <w:left w:val="none" w:sz="0" w:space="0" w:color="auto"/>
                    <w:bottom w:val="none" w:sz="0" w:space="0" w:color="auto"/>
                    <w:right w:val="none" w:sz="0" w:space="0" w:color="auto"/>
                  </w:divBdr>
                </w:div>
              </w:divsChild>
            </w:div>
            <w:div w:id="581068460">
              <w:marLeft w:val="0"/>
              <w:marRight w:val="0"/>
              <w:marTop w:val="0"/>
              <w:marBottom w:val="0"/>
              <w:divBdr>
                <w:top w:val="none" w:sz="0" w:space="0" w:color="auto"/>
                <w:left w:val="none" w:sz="0" w:space="0" w:color="auto"/>
                <w:bottom w:val="none" w:sz="0" w:space="0" w:color="auto"/>
                <w:right w:val="none" w:sz="0" w:space="0" w:color="auto"/>
              </w:divBdr>
              <w:divsChild>
                <w:div w:id="493765074">
                  <w:marLeft w:val="0"/>
                  <w:marRight w:val="0"/>
                  <w:marTop w:val="0"/>
                  <w:marBottom w:val="0"/>
                  <w:divBdr>
                    <w:top w:val="none" w:sz="0" w:space="0" w:color="auto"/>
                    <w:left w:val="none" w:sz="0" w:space="0" w:color="auto"/>
                    <w:bottom w:val="none" w:sz="0" w:space="0" w:color="auto"/>
                    <w:right w:val="none" w:sz="0" w:space="0" w:color="auto"/>
                  </w:divBdr>
                </w:div>
              </w:divsChild>
            </w:div>
            <w:div w:id="720373291">
              <w:marLeft w:val="0"/>
              <w:marRight w:val="0"/>
              <w:marTop w:val="0"/>
              <w:marBottom w:val="0"/>
              <w:divBdr>
                <w:top w:val="none" w:sz="0" w:space="0" w:color="auto"/>
                <w:left w:val="none" w:sz="0" w:space="0" w:color="auto"/>
                <w:bottom w:val="none" w:sz="0" w:space="0" w:color="auto"/>
                <w:right w:val="none" w:sz="0" w:space="0" w:color="auto"/>
              </w:divBdr>
              <w:divsChild>
                <w:div w:id="1864703830">
                  <w:marLeft w:val="0"/>
                  <w:marRight w:val="0"/>
                  <w:marTop w:val="0"/>
                  <w:marBottom w:val="0"/>
                  <w:divBdr>
                    <w:top w:val="none" w:sz="0" w:space="0" w:color="auto"/>
                    <w:left w:val="none" w:sz="0" w:space="0" w:color="auto"/>
                    <w:bottom w:val="none" w:sz="0" w:space="0" w:color="auto"/>
                    <w:right w:val="none" w:sz="0" w:space="0" w:color="auto"/>
                  </w:divBdr>
                </w:div>
              </w:divsChild>
            </w:div>
            <w:div w:id="940993186">
              <w:marLeft w:val="0"/>
              <w:marRight w:val="0"/>
              <w:marTop w:val="0"/>
              <w:marBottom w:val="0"/>
              <w:divBdr>
                <w:top w:val="none" w:sz="0" w:space="0" w:color="auto"/>
                <w:left w:val="none" w:sz="0" w:space="0" w:color="auto"/>
                <w:bottom w:val="none" w:sz="0" w:space="0" w:color="auto"/>
                <w:right w:val="none" w:sz="0" w:space="0" w:color="auto"/>
              </w:divBdr>
              <w:divsChild>
                <w:div w:id="1933005147">
                  <w:marLeft w:val="0"/>
                  <w:marRight w:val="0"/>
                  <w:marTop w:val="0"/>
                  <w:marBottom w:val="0"/>
                  <w:divBdr>
                    <w:top w:val="none" w:sz="0" w:space="0" w:color="auto"/>
                    <w:left w:val="none" w:sz="0" w:space="0" w:color="auto"/>
                    <w:bottom w:val="none" w:sz="0" w:space="0" w:color="auto"/>
                    <w:right w:val="none" w:sz="0" w:space="0" w:color="auto"/>
                  </w:divBdr>
                </w:div>
              </w:divsChild>
            </w:div>
            <w:div w:id="1014459371">
              <w:marLeft w:val="0"/>
              <w:marRight w:val="0"/>
              <w:marTop w:val="0"/>
              <w:marBottom w:val="0"/>
              <w:divBdr>
                <w:top w:val="none" w:sz="0" w:space="0" w:color="auto"/>
                <w:left w:val="none" w:sz="0" w:space="0" w:color="auto"/>
                <w:bottom w:val="none" w:sz="0" w:space="0" w:color="auto"/>
                <w:right w:val="none" w:sz="0" w:space="0" w:color="auto"/>
              </w:divBdr>
              <w:divsChild>
                <w:div w:id="889193691">
                  <w:marLeft w:val="0"/>
                  <w:marRight w:val="0"/>
                  <w:marTop w:val="0"/>
                  <w:marBottom w:val="0"/>
                  <w:divBdr>
                    <w:top w:val="none" w:sz="0" w:space="0" w:color="auto"/>
                    <w:left w:val="none" w:sz="0" w:space="0" w:color="auto"/>
                    <w:bottom w:val="none" w:sz="0" w:space="0" w:color="auto"/>
                    <w:right w:val="none" w:sz="0" w:space="0" w:color="auto"/>
                  </w:divBdr>
                </w:div>
              </w:divsChild>
            </w:div>
            <w:div w:id="1042554475">
              <w:marLeft w:val="0"/>
              <w:marRight w:val="0"/>
              <w:marTop w:val="0"/>
              <w:marBottom w:val="0"/>
              <w:divBdr>
                <w:top w:val="none" w:sz="0" w:space="0" w:color="auto"/>
                <w:left w:val="none" w:sz="0" w:space="0" w:color="auto"/>
                <w:bottom w:val="none" w:sz="0" w:space="0" w:color="auto"/>
                <w:right w:val="none" w:sz="0" w:space="0" w:color="auto"/>
              </w:divBdr>
              <w:divsChild>
                <w:div w:id="794444443">
                  <w:marLeft w:val="0"/>
                  <w:marRight w:val="0"/>
                  <w:marTop w:val="0"/>
                  <w:marBottom w:val="0"/>
                  <w:divBdr>
                    <w:top w:val="none" w:sz="0" w:space="0" w:color="auto"/>
                    <w:left w:val="none" w:sz="0" w:space="0" w:color="auto"/>
                    <w:bottom w:val="none" w:sz="0" w:space="0" w:color="auto"/>
                    <w:right w:val="none" w:sz="0" w:space="0" w:color="auto"/>
                  </w:divBdr>
                </w:div>
              </w:divsChild>
            </w:div>
            <w:div w:id="1063600473">
              <w:marLeft w:val="0"/>
              <w:marRight w:val="0"/>
              <w:marTop w:val="0"/>
              <w:marBottom w:val="0"/>
              <w:divBdr>
                <w:top w:val="none" w:sz="0" w:space="0" w:color="auto"/>
                <w:left w:val="none" w:sz="0" w:space="0" w:color="auto"/>
                <w:bottom w:val="none" w:sz="0" w:space="0" w:color="auto"/>
                <w:right w:val="none" w:sz="0" w:space="0" w:color="auto"/>
              </w:divBdr>
              <w:divsChild>
                <w:div w:id="316499797">
                  <w:marLeft w:val="0"/>
                  <w:marRight w:val="0"/>
                  <w:marTop w:val="0"/>
                  <w:marBottom w:val="0"/>
                  <w:divBdr>
                    <w:top w:val="none" w:sz="0" w:space="0" w:color="auto"/>
                    <w:left w:val="none" w:sz="0" w:space="0" w:color="auto"/>
                    <w:bottom w:val="none" w:sz="0" w:space="0" w:color="auto"/>
                    <w:right w:val="none" w:sz="0" w:space="0" w:color="auto"/>
                  </w:divBdr>
                </w:div>
              </w:divsChild>
            </w:div>
            <w:div w:id="1179003756">
              <w:marLeft w:val="0"/>
              <w:marRight w:val="0"/>
              <w:marTop w:val="0"/>
              <w:marBottom w:val="0"/>
              <w:divBdr>
                <w:top w:val="none" w:sz="0" w:space="0" w:color="auto"/>
                <w:left w:val="none" w:sz="0" w:space="0" w:color="auto"/>
                <w:bottom w:val="none" w:sz="0" w:space="0" w:color="auto"/>
                <w:right w:val="none" w:sz="0" w:space="0" w:color="auto"/>
              </w:divBdr>
              <w:divsChild>
                <w:div w:id="512649802">
                  <w:marLeft w:val="0"/>
                  <w:marRight w:val="0"/>
                  <w:marTop w:val="0"/>
                  <w:marBottom w:val="0"/>
                  <w:divBdr>
                    <w:top w:val="none" w:sz="0" w:space="0" w:color="auto"/>
                    <w:left w:val="none" w:sz="0" w:space="0" w:color="auto"/>
                    <w:bottom w:val="none" w:sz="0" w:space="0" w:color="auto"/>
                    <w:right w:val="none" w:sz="0" w:space="0" w:color="auto"/>
                  </w:divBdr>
                </w:div>
              </w:divsChild>
            </w:div>
            <w:div w:id="1560752056">
              <w:marLeft w:val="0"/>
              <w:marRight w:val="0"/>
              <w:marTop w:val="0"/>
              <w:marBottom w:val="0"/>
              <w:divBdr>
                <w:top w:val="none" w:sz="0" w:space="0" w:color="auto"/>
                <w:left w:val="none" w:sz="0" w:space="0" w:color="auto"/>
                <w:bottom w:val="none" w:sz="0" w:space="0" w:color="auto"/>
                <w:right w:val="none" w:sz="0" w:space="0" w:color="auto"/>
              </w:divBdr>
              <w:divsChild>
                <w:div w:id="859900868">
                  <w:marLeft w:val="0"/>
                  <w:marRight w:val="0"/>
                  <w:marTop w:val="0"/>
                  <w:marBottom w:val="0"/>
                  <w:divBdr>
                    <w:top w:val="none" w:sz="0" w:space="0" w:color="auto"/>
                    <w:left w:val="none" w:sz="0" w:space="0" w:color="auto"/>
                    <w:bottom w:val="none" w:sz="0" w:space="0" w:color="auto"/>
                    <w:right w:val="none" w:sz="0" w:space="0" w:color="auto"/>
                  </w:divBdr>
                </w:div>
              </w:divsChild>
            </w:div>
            <w:div w:id="1612591912">
              <w:marLeft w:val="0"/>
              <w:marRight w:val="0"/>
              <w:marTop w:val="0"/>
              <w:marBottom w:val="0"/>
              <w:divBdr>
                <w:top w:val="none" w:sz="0" w:space="0" w:color="auto"/>
                <w:left w:val="none" w:sz="0" w:space="0" w:color="auto"/>
                <w:bottom w:val="none" w:sz="0" w:space="0" w:color="auto"/>
                <w:right w:val="none" w:sz="0" w:space="0" w:color="auto"/>
              </w:divBdr>
              <w:divsChild>
                <w:div w:id="965426623">
                  <w:marLeft w:val="0"/>
                  <w:marRight w:val="0"/>
                  <w:marTop w:val="0"/>
                  <w:marBottom w:val="0"/>
                  <w:divBdr>
                    <w:top w:val="none" w:sz="0" w:space="0" w:color="auto"/>
                    <w:left w:val="none" w:sz="0" w:space="0" w:color="auto"/>
                    <w:bottom w:val="none" w:sz="0" w:space="0" w:color="auto"/>
                    <w:right w:val="none" w:sz="0" w:space="0" w:color="auto"/>
                  </w:divBdr>
                </w:div>
              </w:divsChild>
            </w:div>
            <w:div w:id="1784181442">
              <w:marLeft w:val="0"/>
              <w:marRight w:val="0"/>
              <w:marTop w:val="0"/>
              <w:marBottom w:val="0"/>
              <w:divBdr>
                <w:top w:val="none" w:sz="0" w:space="0" w:color="auto"/>
                <w:left w:val="none" w:sz="0" w:space="0" w:color="auto"/>
                <w:bottom w:val="none" w:sz="0" w:space="0" w:color="auto"/>
                <w:right w:val="none" w:sz="0" w:space="0" w:color="auto"/>
              </w:divBdr>
              <w:divsChild>
                <w:div w:id="178202546">
                  <w:marLeft w:val="0"/>
                  <w:marRight w:val="0"/>
                  <w:marTop w:val="0"/>
                  <w:marBottom w:val="0"/>
                  <w:divBdr>
                    <w:top w:val="none" w:sz="0" w:space="0" w:color="auto"/>
                    <w:left w:val="none" w:sz="0" w:space="0" w:color="auto"/>
                    <w:bottom w:val="none" w:sz="0" w:space="0" w:color="auto"/>
                    <w:right w:val="none" w:sz="0" w:space="0" w:color="auto"/>
                  </w:divBdr>
                </w:div>
              </w:divsChild>
            </w:div>
            <w:div w:id="1874924312">
              <w:marLeft w:val="0"/>
              <w:marRight w:val="0"/>
              <w:marTop w:val="0"/>
              <w:marBottom w:val="0"/>
              <w:divBdr>
                <w:top w:val="none" w:sz="0" w:space="0" w:color="auto"/>
                <w:left w:val="none" w:sz="0" w:space="0" w:color="auto"/>
                <w:bottom w:val="none" w:sz="0" w:space="0" w:color="auto"/>
                <w:right w:val="none" w:sz="0" w:space="0" w:color="auto"/>
              </w:divBdr>
              <w:divsChild>
                <w:div w:id="20912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5813">
      <w:bodyDiv w:val="1"/>
      <w:marLeft w:val="0"/>
      <w:marRight w:val="0"/>
      <w:marTop w:val="0"/>
      <w:marBottom w:val="0"/>
      <w:divBdr>
        <w:top w:val="none" w:sz="0" w:space="0" w:color="auto"/>
        <w:left w:val="none" w:sz="0" w:space="0" w:color="auto"/>
        <w:bottom w:val="none" w:sz="0" w:space="0" w:color="auto"/>
        <w:right w:val="none" w:sz="0" w:space="0" w:color="auto"/>
      </w:divBdr>
    </w:div>
    <w:div w:id="498885577">
      <w:bodyDiv w:val="1"/>
      <w:marLeft w:val="0"/>
      <w:marRight w:val="0"/>
      <w:marTop w:val="0"/>
      <w:marBottom w:val="0"/>
      <w:divBdr>
        <w:top w:val="none" w:sz="0" w:space="0" w:color="auto"/>
        <w:left w:val="none" w:sz="0" w:space="0" w:color="auto"/>
        <w:bottom w:val="none" w:sz="0" w:space="0" w:color="auto"/>
        <w:right w:val="none" w:sz="0" w:space="0" w:color="auto"/>
      </w:divBdr>
    </w:div>
    <w:div w:id="519396178">
      <w:bodyDiv w:val="1"/>
      <w:marLeft w:val="0"/>
      <w:marRight w:val="0"/>
      <w:marTop w:val="0"/>
      <w:marBottom w:val="0"/>
      <w:divBdr>
        <w:top w:val="none" w:sz="0" w:space="0" w:color="auto"/>
        <w:left w:val="none" w:sz="0" w:space="0" w:color="auto"/>
        <w:bottom w:val="none" w:sz="0" w:space="0" w:color="auto"/>
        <w:right w:val="none" w:sz="0" w:space="0" w:color="auto"/>
      </w:divBdr>
    </w:div>
    <w:div w:id="522481084">
      <w:bodyDiv w:val="1"/>
      <w:marLeft w:val="0"/>
      <w:marRight w:val="0"/>
      <w:marTop w:val="0"/>
      <w:marBottom w:val="0"/>
      <w:divBdr>
        <w:top w:val="none" w:sz="0" w:space="0" w:color="auto"/>
        <w:left w:val="none" w:sz="0" w:space="0" w:color="auto"/>
        <w:bottom w:val="none" w:sz="0" w:space="0" w:color="auto"/>
        <w:right w:val="none" w:sz="0" w:space="0" w:color="auto"/>
      </w:divBdr>
    </w:div>
    <w:div w:id="544757688">
      <w:bodyDiv w:val="1"/>
      <w:marLeft w:val="0"/>
      <w:marRight w:val="0"/>
      <w:marTop w:val="0"/>
      <w:marBottom w:val="0"/>
      <w:divBdr>
        <w:top w:val="none" w:sz="0" w:space="0" w:color="auto"/>
        <w:left w:val="none" w:sz="0" w:space="0" w:color="auto"/>
        <w:bottom w:val="none" w:sz="0" w:space="0" w:color="auto"/>
        <w:right w:val="none" w:sz="0" w:space="0" w:color="auto"/>
      </w:divBdr>
    </w:div>
    <w:div w:id="548885214">
      <w:bodyDiv w:val="1"/>
      <w:marLeft w:val="0"/>
      <w:marRight w:val="0"/>
      <w:marTop w:val="0"/>
      <w:marBottom w:val="0"/>
      <w:divBdr>
        <w:top w:val="none" w:sz="0" w:space="0" w:color="auto"/>
        <w:left w:val="none" w:sz="0" w:space="0" w:color="auto"/>
        <w:bottom w:val="none" w:sz="0" w:space="0" w:color="auto"/>
        <w:right w:val="none" w:sz="0" w:space="0" w:color="auto"/>
      </w:divBdr>
    </w:div>
    <w:div w:id="569970985">
      <w:bodyDiv w:val="1"/>
      <w:marLeft w:val="0"/>
      <w:marRight w:val="0"/>
      <w:marTop w:val="0"/>
      <w:marBottom w:val="0"/>
      <w:divBdr>
        <w:top w:val="none" w:sz="0" w:space="0" w:color="auto"/>
        <w:left w:val="none" w:sz="0" w:space="0" w:color="auto"/>
        <w:bottom w:val="none" w:sz="0" w:space="0" w:color="auto"/>
        <w:right w:val="none" w:sz="0" w:space="0" w:color="auto"/>
      </w:divBdr>
    </w:div>
    <w:div w:id="586696600">
      <w:bodyDiv w:val="1"/>
      <w:marLeft w:val="0"/>
      <w:marRight w:val="0"/>
      <w:marTop w:val="0"/>
      <w:marBottom w:val="0"/>
      <w:divBdr>
        <w:top w:val="none" w:sz="0" w:space="0" w:color="auto"/>
        <w:left w:val="none" w:sz="0" w:space="0" w:color="auto"/>
        <w:bottom w:val="none" w:sz="0" w:space="0" w:color="auto"/>
        <w:right w:val="none" w:sz="0" w:space="0" w:color="auto"/>
      </w:divBdr>
      <w:divsChild>
        <w:div w:id="339891363">
          <w:marLeft w:val="0"/>
          <w:marRight w:val="0"/>
          <w:marTop w:val="0"/>
          <w:marBottom w:val="225"/>
          <w:divBdr>
            <w:top w:val="none" w:sz="0" w:space="0" w:color="auto"/>
            <w:left w:val="none" w:sz="0" w:space="0" w:color="auto"/>
            <w:bottom w:val="none" w:sz="0" w:space="0" w:color="auto"/>
            <w:right w:val="none" w:sz="0" w:space="0" w:color="auto"/>
          </w:divBdr>
          <w:divsChild>
            <w:div w:id="5908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659">
      <w:bodyDiv w:val="1"/>
      <w:marLeft w:val="0"/>
      <w:marRight w:val="0"/>
      <w:marTop w:val="0"/>
      <w:marBottom w:val="0"/>
      <w:divBdr>
        <w:top w:val="none" w:sz="0" w:space="0" w:color="auto"/>
        <w:left w:val="none" w:sz="0" w:space="0" w:color="auto"/>
        <w:bottom w:val="none" w:sz="0" w:space="0" w:color="auto"/>
        <w:right w:val="none" w:sz="0" w:space="0" w:color="auto"/>
      </w:divBdr>
    </w:div>
    <w:div w:id="605117925">
      <w:bodyDiv w:val="1"/>
      <w:marLeft w:val="0"/>
      <w:marRight w:val="0"/>
      <w:marTop w:val="0"/>
      <w:marBottom w:val="0"/>
      <w:divBdr>
        <w:top w:val="none" w:sz="0" w:space="0" w:color="auto"/>
        <w:left w:val="none" w:sz="0" w:space="0" w:color="auto"/>
        <w:bottom w:val="none" w:sz="0" w:space="0" w:color="auto"/>
        <w:right w:val="none" w:sz="0" w:space="0" w:color="auto"/>
      </w:divBdr>
    </w:div>
    <w:div w:id="630405756">
      <w:bodyDiv w:val="1"/>
      <w:marLeft w:val="0"/>
      <w:marRight w:val="0"/>
      <w:marTop w:val="0"/>
      <w:marBottom w:val="0"/>
      <w:divBdr>
        <w:top w:val="none" w:sz="0" w:space="0" w:color="auto"/>
        <w:left w:val="none" w:sz="0" w:space="0" w:color="auto"/>
        <w:bottom w:val="none" w:sz="0" w:space="0" w:color="auto"/>
        <w:right w:val="none" w:sz="0" w:space="0" w:color="auto"/>
      </w:divBdr>
    </w:div>
    <w:div w:id="637690714">
      <w:bodyDiv w:val="1"/>
      <w:marLeft w:val="0"/>
      <w:marRight w:val="0"/>
      <w:marTop w:val="0"/>
      <w:marBottom w:val="0"/>
      <w:divBdr>
        <w:top w:val="none" w:sz="0" w:space="0" w:color="auto"/>
        <w:left w:val="none" w:sz="0" w:space="0" w:color="auto"/>
        <w:bottom w:val="none" w:sz="0" w:space="0" w:color="auto"/>
        <w:right w:val="none" w:sz="0" w:space="0" w:color="auto"/>
      </w:divBdr>
    </w:div>
    <w:div w:id="645429655">
      <w:bodyDiv w:val="1"/>
      <w:marLeft w:val="0"/>
      <w:marRight w:val="0"/>
      <w:marTop w:val="0"/>
      <w:marBottom w:val="0"/>
      <w:divBdr>
        <w:top w:val="none" w:sz="0" w:space="0" w:color="auto"/>
        <w:left w:val="none" w:sz="0" w:space="0" w:color="auto"/>
        <w:bottom w:val="none" w:sz="0" w:space="0" w:color="auto"/>
        <w:right w:val="none" w:sz="0" w:space="0" w:color="auto"/>
      </w:divBdr>
    </w:div>
    <w:div w:id="648679049">
      <w:bodyDiv w:val="1"/>
      <w:marLeft w:val="0"/>
      <w:marRight w:val="0"/>
      <w:marTop w:val="0"/>
      <w:marBottom w:val="0"/>
      <w:divBdr>
        <w:top w:val="none" w:sz="0" w:space="0" w:color="auto"/>
        <w:left w:val="none" w:sz="0" w:space="0" w:color="auto"/>
        <w:bottom w:val="none" w:sz="0" w:space="0" w:color="auto"/>
        <w:right w:val="none" w:sz="0" w:space="0" w:color="auto"/>
      </w:divBdr>
    </w:div>
    <w:div w:id="665743541">
      <w:bodyDiv w:val="1"/>
      <w:marLeft w:val="0"/>
      <w:marRight w:val="0"/>
      <w:marTop w:val="0"/>
      <w:marBottom w:val="0"/>
      <w:divBdr>
        <w:top w:val="none" w:sz="0" w:space="0" w:color="auto"/>
        <w:left w:val="none" w:sz="0" w:space="0" w:color="auto"/>
        <w:bottom w:val="none" w:sz="0" w:space="0" w:color="auto"/>
        <w:right w:val="none" w:sz="0" w:space="0" w:color="auto"/>
      </w:divBdr>
    </w:div>
    <w:div w:id="673992192">
      <w:bodyDiv w:val="1"/>
      <w:marLeft w:val="0"/>
      <w:marRight w:val="0"/>
      <w:marTop w:val="0"/>
      <w:marBottom w:val="0"/>
      <w:divBdr>
        <w:top w:val="none" w:sz="0" w:space="0" w:color="auto"/>
        <w:left w:val="none" w:sz="0" w:space="0" w:color="auto"/>
        <w:bottom w:val="none" w:sz="0" w:space="0" w:color="auto"/>
        <w:right w:val="none" w:sz="0" w:space="0" w:color="auto"/>
      </w:divBdr>
    </w:div>
    <w:div w:id="696391214">
      <w:bodyDiv w:val="1"/>
      <w:marLeft w:val="0"/>
      <w:marRight w:val="0"/>
      <w:marTop w:val="0"/>
      <w:marBottom w:val="0"/>
      <w:divBdr>
        <w:top w:val="none" w:sz="0" w:space="0" w:color="auto"/>
        <w:left w:val="none" w:sz="0" w:space="0" w:color="auto"/>
        <w:bottom w:val="none" w:sz="0" w:space="0" w:color="auto"/>
        <w:right w:val="none" w:sz="0" w:space="0" w:color="auto"/>
      </w:divBdr>
    </w:div>
    <w:div w:id="727844097">
      <w:bodyDiv w:val="1"/>
      <w:marLeft w:val="0"/>
      <w:marRight w:val="0"/>
      <w:marTop w:val="0"/>
      <w:marBottom w:val="0"/>
      <w:divBdr>
        <w:top w:val="none" w:sz="0" w:space="0" w:color="auto"/>
        <w:left w:val="none" w:sz="0" w:space="0" w:color="auto"/>
        <w:bottom w:val="none" w:sz="0" w:space="0" w:color="auto"/>
        <w:right w:val="none" w:sz="0" w:space="0" w:color="auto"/>
      </w:divBdr>
    </w:div>
    <w:div w:id="742140256">
      <w:bodyDiv w:val="1"/>
      <w:marLeft w:val="0"/>
      <w:marRight w:val="0"/>
      <w:marTop w:val="0"/>
      <w:marBottom w:val="0"/>
      <w:divBdr>
        <w:top w:val="none" w:sz="0" w:space="0" w:color="auto"/>
        <w:left w:val="none" w:sz="0" w:space="0" w:color="auto"/>
        <w:bottom w:val="none" w:sz="0" w:space="0" w:color="auto"/>
        <w:right w:val="none" w:sz="0" w:space="0" w:color="auto"/>
      </w:divBdr>
    </w:div>
    <w:div w:id="878006036">
      <w:bodyDiv w:val="1"/>
      <w:marLeft w:val="0"/>
      <w:marRight w:val="0"/>
      <w:marTop w:val="0"/>
      <w:marBottom w:val="0"/>
      <w:divBdr>
        <w:top w:val="none" w:sz="0" w:space="0" w:color="auto"/>
        <w:left w:val="none" w:sz="0" w:space="0" w:color="auto"/>
        <w:bottom w:val="none" w:sz="0" w:space="0" w:color="auto"/>
        <w:right w:val="none" w:sz="0" w:space="0" w:color="auto"/>
      </w:divBdr>
    </w:div>
    <w:div w:id="897134683">
      <w:bodyDiv w:val="1"/>
      <w:marLeft w:val="0"/>
      <w:marRight w:val="0"/>
      <w:marTop w:val="0"/>
      <w:marBottom w:val="0"/>
      <w:divBdr>
        <w:top w:val="none" w:sz="0" w:space="0" w:color="auto"/>
        <w:left w:val="none" w:sz="0" w:space="0" w:color="auto"/>
        <w:bottom w:val="none" w:sz="0" w:space="0" w:color="auto"/>
        <w:right w:val="none" w:sz="0" w:space="0" w:color="auto"/>
      </w:divBdr>
    </w:div>
    <w:div w:id="905335291">
      <w:bodyDiv w:val="1"/>
      <w:marLeft w:val="0"/>
      <w:marRight w:val="0"/>
      <w:marTop w:val="0"/>
      <w:marBottom w:val="0"/>
      <w:divBdr>
        <w:top w:val="none" w:sz="0" w:space="0" w:color="auto"/>
        <w:left w:val="none" w:sz="0" w:space="0" w:color="auto"/>
        <w:bottom w:val="none" w:sz="0" w:space="0" w:color="auto"/>
        <w:right w:val="none" w:sz="0" w:space="0" w:color="auto"/>
      </w:divBdr>
    </w:div>
    <w:div w:id="911044712">
      <w:bodyDiv w:val="1"/>
      <w:marLeft w:val="0"/>
      <w:marRight w:val="0"/>
      <w:marTop w:val="0"/>
      <w:marBottom w:val="0"/>
      <w:divBdr>
        <w:top w:val="none" w:sz="0" w:space="0" w:color="auto"/>
        <w:left w:val="none" w:sz="0" w:space="0" w:color="auto"/>
        <w:bottom w:val="none" w:sz="0" w:space="0" w:color="auto"/>
        <w:right w:val="none" w:sz="0" w:space="0" w:color="auto"/>
      </w:divBdr>
    </w:div>
    <w:div w:id="1009409724">
      <w:bodyDiv w:val="1"/>
      <w:marLeft w:val="0"/>
      <w:marRight w:val="0"/>
      <w:marTop w:val="0"/>
      <w:marBottom w:val="0"/>
      <w:divBdr>
        <w:top w:val="none" w:sz="0" w:space="0" w:color="auto"/>
        <w:left w:val="none" w:sz="0" w:space="0" w:color="auto"/>
        <w:bottom w:val="none" w:sz="0" w:space="0" w:color="auto"/>
        <w:right w:val="none" w:sz="0" w:space="0" w:color="auto"/>
      </w:divBdr>
    </w:div>
    <w:div w:id="1097098923">
      <w:bodyDiv w:val="1"/>
      <w:marLeft w:val="0"/>
      <w:marRight w:val="0"/>
      <w:marTop w:val="0"/>
      <w:marBottom w:val="0"/>
      <w:divBdr>
        <w:top w:val="none" w:sz="0" w:space="0" w:color="auto"/>
        <w:left w:val="none" w:sz="0" w:space="0" w:color="auto"/>
        <w:bottom w:val="none" w:sz="0" w:space="0" w:color="auto"/>
        <w:right w:val="none" w:sz="0" w:space="0" w:color="auto"/>
      </w:divBdr>
    </w:div>
    <w:div w:id="1126505456">
      <w:bodyDiv w:val="1"/>
      <w:marLeft w:val="0"/>
      <w:marRight w:val="0"/>
      <w:marTop w:val="0"/>
      <w:marBottom w:val="0"/>
      <w:divBdr>
        <w:top w:val="none" w:sz="0" w:space="0" w:color="auto"/>
        <w:left w:val="none" w:sz="0" w:space="0" w:color="auto"/>
        <w:bottom w:val="none" w:sz="0" w:space="0" w:color="auto"/>
        <w:right w:val="none" w:sz="0" w:space="0" w:color="auto"/>
      </w:divBdr>
    </w:div>
    <w:div w:id="1140810502">
      <w:bodyDiv w:val="1"/>
      <w:marLeft w:val="0"/>
      <w:marRight w:val="0"/>
      <w:marTop w:val="0"/>
      <w:marBottom w:val="0"/>
      <w:divBdr>
        <w:top w:val="none" w:sz="0" w:space="0" w:color="auto"/>
        <w:left w:val="none" w:sz="0" w:space="0" w:color="auto"/>
        <w:bottom w:val="none" w:sz="0" w:space="0" w:color="auto"/>
        <w:right w:val="none" w:sz="0" w:space="0" w:color="auto"/>
      </w:divBdr>
      <w:divsChild>
        <w:div w:id="1331834466">
          <w:marLeft w:val="0"/>
          <w:marRight w:val="0"/>
          <w:marTop w:val="0"/>
          <w:marBottom w:val="0"/>
          <w:divBdr>
            <w:top w:val="none" w:sz="0" w:space="0" w:color="auto"/>
            <w:left w:val="none" w:sz="0" w:space="0" w:color="auto"/>
            <w:bottom w:val="none" w:sz="0" w:space="0" w:color="auto"/>
            <w:right w:val="none" w:sz="0" w:space="0" w:color="auto"/>
          </w:divBdr>
          <w:divsChild>
            <w:div w:id="1396010774">
              <w:marLeft w:val="0"/>
              <w:marRight w:val="0"/>
              <w:marTop w:val="0"/>
              <w:marBottom w:val="450"/>
              <w:divBdr>
                <w:top w:val="none" w:sz="0" w:space="0" w:color="auto"/>
                <w:left w:val="none" w:sz="0" w:space="0" w:color="auto"/>
                <w:bottom w:val="none" w:sz="0" w:space="0" w:color="auto"/>
                <w:right w:val="none" w:sz="0" w:space="0" w:color="auto"/>
              </w:divBdr>
              <w:divsChild>
                <w:div w:id="598491203">
                  <w:marLeft w:val="0"/>
                  <w:marRight w:val="0"/>
                  <w:marTop w:val="0"/>
                  <w:marBottom w:val="0"/>
                  <w:divBdr>
                    <w:top w:val="none" w:sz="0" w:space="0" w:color="auto"/>
                    <w:left w:val="none" w:sz="0" w:space="0" w:color="auto"/>
                    <w:bottom w:val="none" w:sz="0" w:space="0" w:color="auto"/>
                    <w:right w:val="none" w:sz="0" w:space="0" w:color="auto"/>
                  </w:divBdr>
                  <w:divsChild>
                    <w:div w:id="708841284">
                      <w:marLeft w:val="0"/>
                      <w:marRight w:val="0"/>
                      <w:marTop w:val="0"/>
                      <w:marBottom w:val="0"/>
                      <w:divBdr>
                        <w:top w:val="none" w:sz="0" w:space="0" w:color="auto"/>
                        <w:left w:val="none" w:sz="0" w:space="0" w:color="auto"/>
                        <w:bottom w:val="none" w:sz="0" w:space="0" w:color="auto"/>
                        <w:right w:val="none" w:sz="0" w:space="0" w:color="auto"/>
                      </w:divBdr>
                      <w:divsChild>
                        <w:div w:id="15555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235697">
      <w:bodyDiv w:val="1"/>
      <w:marLeft w:val="0"/>
      <w:marRight w:val="0"/>
      <w:marTop w:val="0"/>
      <w:marBottom w:val="0"/>
      <w:divBdr>
        <w:top w:val="none" w:sz="0" w:space="0" w:color="auto"/>
        <w:left w:val="none" w:sz="0" w:space="0" w:color="auto"/>
        <w:bottom w:val="none" w:sz="0" w:space="0" w:color="auto"/>
        <w:right w:val="none" w:sz="0" w:space="0" w:color="auto"/>
      </w:divBdr>
    </w:div>
    <w:div w:id="1148283964">
      <w:bodyDiv w:val="1"/>
      <w:marLeft w:val="0"/>
      <w:marRight w:val="0"/>
      <w:marTop w:val="0"/>
      <w:marBottom w:val="0"/>
      <w:divBdr>
        <w:top w:val="none" w:sz="0" w:space="0" w:color="auto"/>
        <w:left w:val="none" w:sz="0" w:space="0" w:color="auto"/>
        <w:bottom w:val="none" w:sz="0" w:space="0" w:color="auto"/>
        <w:right w:val="none" w:sz="0" w:space="0" w:color="auto"/>
      </w:divBdr>
      <w:divsChild>
        <w:div w:id="2131321337">
          <w:marLeft w:val="0"/>
          <w:marRight w:val="0"/>
          <w:marTop w:val="0"/>
          <w:marBottom w:val="0"/>
          <w:divBdr>
            <w:top w:val="none" w:sz="0" w:space="0" w:color="auto"/>
            <w:left w:val="none" w:sz="0" w:space="0" w:color="auto"/>
            <w:bottom w:val="none" w:sz="0" w:space="0" w:color="auto"/>
            <w:right w:val="none" w:sz="0" w:space="0" w:color="auto"/>
          </w:divBdr>
        </w:div>
        <w:div w:id="554775947">
          <w:marLeft w:val="0"/>
          <w:marRight w:val="0"/>
          <w:marTop w:val="0"/>
          <w:marBottom w:val="0"/>
          <w:divBdr>
            <w:top w:val="none" w:sz="0" w:space="0" w:color="auto"/>
            <w:left w:val="none" w:sz="0" w:space="0" w:color="auto"/>
            <w:bottom w:val="none" w:sz="0" w:space="0" w:color="auto"/>
            <w:right w:val="none" w:sz="0" w:space="0" w:color="auto"/>
          </w:divBdr>
        </w:div>
        <w:div w:id="1042824658">
          <w:marLeft w:val="0"/>
          <w:marRight w:val="0"/>
          <w:marTop w:val="0"/>
          <w:marBottom w:val="0"/>
          <w:divBdr>
            <w:top w:val="none" w:sz="0" w:space="0" w:color="auto"/>
            <w:left w:val="none" w:sz="0" w:space="0" w:color="auto"/>
            <w:bottom w:val="none" w:sz="0" w:space="0" w:color="auto"/>
            <w:right w:val="none" w:sz="0" w:space="0" w:color="auto"/>
          </w:divBdr>
        </w:div>
        <w:div w:id="1098989509">
          <w:marLeft w:val="0"/>
          <w:marRight w:val="0"/>
          <w:marTop w:val="0"/>
          <w:marBottom w:val="0"/>
          <w:divBdr>
            <w:top w:val="none" w:sz="0" w:space="0" w:color="auto"/>
            <w:left w:val="none" w:sz="0" w:space="0" w:color="auto"/>
            <w:bottom w:val="none" w:sz="0" w:space="0" w:color="auto"/>
            <w:right w:val="none" w:sz="0" w:space="0" w:color="auto"/>
          </w:divBdr>
        </w:div>
        <w:div w:id="1924335780">
          <w:marLeft w:val="0"/>
          <w:marRight w:val="0"/>
          <w:marTop w:val="0"/>
          <w:marBottom w:val="0"/>
          <w:divBdr>
            <w:top w:val="none" w:sz="0" w:space="0" w:color="auto"/>
            <w:left w:val="none" w:sz="0" w:space="0" w:color="auto"/>
            <w:bottom w:val="none" w:sz="0" w:space="0" w:color="auto"/>
            <w:right w:val="none" w:sz="0" w:space="0" w:color="auto"/>
          </w:divBdr>
        </w:div>
        <w:div w:id="34546055">
          <w:marLeft w:val="0"/>
          <w:marRight w:val="0"/>
          <w:marTop w:val="0"/>
          <w:marBottom w:val="0"/>
          <w:divBdr>
            <w:top w:val="none" w:sz="0" w:space="0" w:color="auto"/>
            <w:left w:val="none" w:sz="0" w:space="0" w:color="auto"/>
            <w:bottom w:val="none" w:sz="0" w:space="0" w:color="auto"/>
            <w:right w:val="none" w:sz="0" w:space="0" w:color="auto"/>
          </w:divBdr>
        </w:div>
      </w:divsChild>
    </w:div>
    <w:div w:id="1155419007">
      <w:bodyDiv w:val="1"/>
      <w:marLeft w:val="0"/>
      <w:marRight w:val="0"/>
      <w:marTop w:val="0"/>
      <w:marBottom w:val="0"/>
      <w:divBdr>
        <w:top w:val="none" w:sz="0" w:space="0" w:color="auto"/>
        <w:left w:val="none" w:sz="0" w:space="0" w:color="auto"/>
        <w:bottom w:val="none" w:sz="0" w:space="0" w:color="auto"/>
        <w:right w:val="none" w:sz="0" w:space="0" w:color="auto"/>
      </w:divBdr>
      <w:divsChild>
        <w:div w:id="938563195">
          <w:marLeft w:val="0"/>
          <w:marRight w:val="0"/>
          <w:marTop w:val="0"/>
          <w:marBottom w:val="0"/>
          <w:divBdr>
            <w:top w:val="single" w:sz="2" w:space="0" w:color="auto"/>
            <w:left w:val="single" w:sz="2" w:space="0" w:color="auto"/>
            <w:bottom w:val="single" w:sz="2" w:space="0" w:color="auto"/>
            <w:right w:val="single" w:sz="2" w:space="0" w:color="auto"/>
          </w:divBdr>
        </w:div>
      </w:divsChild>
    </w:div>
    <w:div w:id="1161888311">
      <w:bodyDiv w:val="1"/>
      <w:marLeft w:val="0"/>
      <w:marRight w:val="0"/>
      <w:marTop w:val="0"/>
      <w:marBottom w:val="0"/>
      <w:divBdr>
        <w:top w:val="none" w:sz="0" w:space="0" w:color="auto"/>
        <w:left w:val="none" w:sz="0" w:space="0" w:color="auto"/>
        <w:bottom w:val="none" w:sz="0" w:space="0" w:color="auto"/>
        <w:right w:val="none" w:sz="0" w:space="0" w:color="auto"/>
      </w:divBdr>
    </w:div>
    <w:div w:id="1176384554">
      <w:bodyDiv w:val="1"/>
      <w:marLeft w:val="0"/>
      <w:marRight w:val="0"/>
      <w:marTop w:val="0"/>
      <w:marBottom w:val="0"/>
      <w:divBdr>
        <w:top w:val="none" w:sz="0" w:space="0" w:color="auto"/>
        <w:left w:val="none" w:sz="0" w:space="0" w:color="auto"/>
        <w:bottom w:val="none" w:sz="0" w:space="0" w:color="auto"/>
        <w:right w:val="none" w:sz="0" w:space="0" w:color="auto"/>
      </w:divBdr>
    </w:div>
    <w:div w:id="1182357531">
      <w:bodyDiv w:val="1"/>
      <w:marLeft w:val="0"/>
      <w:marRight w:val="0"/>
      <w:marTop w:val="0"/>
      <w:marBottom w:val="0"/>
      <w:divBdr>
        <w:top w:val="none" w:sz="0" w:space="0" w:color="auto"/>
        <w:left w:val="none" w:sz="0" w:space="0" w:color="auto"/>
        <w:bottom w:val="none" w:sz="0" w:space="0" w:color="auto"/>
        <w:right w:val="none" w:sz="0" w:space="0" w:color="auto"/>
      </w:divBdr>
    </w:div>
    <w:div w:id="1195312697">
      <w:bodyDiv w:val="1"/>
      <w:marLeft w:val="0"/>
      <w:marRight w:val="0"/>
      <w:marTop w:val="0"/>
      <w:marBottom w:val="0"/>
      <w:divBdr>
        <w:top w:val="none" w:sz="0" w:space="0" w:color="auto"/>
        <w:left w:val="none" w:sz="0" w:space="0" w:color="auto"/>
        <w:bottom w:val="none" w:sz="0" w:space="0" w:color="auto"/>
        <w:right w:val="none" w:sz="0" w:space="0" w:color="auto"/>
      </w:divBdr>
    </w:div>
    <w:div w:id="1201015010">
      <w:bodyDiv w:val="1"/>
      <w:marLeft w:val="0"/>
      <w:marRight w:val="0"/>
      <w:marTop w:val="0"/>
      <w:marBottom w:val="0"/>
      <w:divBdr>
        <w:top w:val="none" w:sz="0" w:space="0" w:color="auto"/>
        <w:left w:val="none" w:sz="0" w:space="0" w:color="auto"/>
        <w:bottom w:val="none" w:sz="0" w:space="0" w:color="auto"/>
        <w:right w:val="none" w:sz="0" w:space="0" w:color="auto"/>
      </w:divBdr>
    </w:div>
    <w:div w:id="1316376014">
      <w:bodyDiv w:val="1"/>
      <w:marLeft w:val="0"/>
      <w:marRight w:val="0"/>
      <w:marTop w:val="0"/>
      <w:marBottom w:val="0"/>
      <w:divBdr>
        <w:top w:val="none" w:sz="0" w:space="0" w:color="auto"/>
        <w:left w:val="none" w:sz="0" w:space="0" w:color="auto"/>
        <w:bottom w:val="none" w:sz="0" w:space="0" w:color="auto"/>
        <w:right w:val="none" w:sz="0" w:space="0" w:color="auto"/>
      </w:divBdr>
    </w:div>
    <w:div w:id="1327980788">
      <w:bodyDiv w:val="1"/>
      <w:marLeft w:val="0"/>
      <w:marRight w:val="0"/>
      <w:marTop w:val="0"/>
      <w:marBottom w:val="0"/>
      <w:divBdr>
        <w:top w:val="none" w:sz="0" w:space="0" w:color="auto"/>
        <w:left w:val="none" w:sz="0" w:space="0" w:color="auto"/>
        <w:bottom w:val="none" w:sz="0" w:space="0" w:color="auto"/>
        <w:right w:val="none" w:sz="0" w:space="0" w:color="auto"/>
      </w:divBdr>
    </w:div>
    <w:div w:id="1330522482">
      <w:bodyDiv w:val="1"/>
      <w:marLeft w:val="0"/>
      <w:marRight w:val="0"/>
      <w:marTop w:val="0"/>
      <w:marBottom w:val="0"/>
      <w:divBdr>
        <w:top w:val="none" w:sz="0" w:space="0" w:color="auto"/>
        <w:left w:val="none" w:sz="0" w:space="0" w:color="auto"/>
        <w:bottom w:val="none" w:sz="0" w:space="0" w:color="auto"/>
        <w:right w:val="none" w:sz="0" w:space="0" w:color="auto"/>
      </w:divBdr>
    </w:div>
    <w:div w:id="1333217160">
      <w:bodyDiv w:val="1"/>
      <w:marLeft w:val="0"/>
      <w:marRight w:val="0"/>
      <w:marTop w:val="0"/>
      <w:marBottom w:val="0"/>
      <w:divBdr>
        <w:top w:val="none" w:sz="0" w:space="0" w:color="auto"/>
        <w:left w:val="none" w:sz="0" w:space="0" w:color="auto"/>
        <w:bottom w:val="none" w:sz="0" w:space="0" w:color="auto"/>
        <w:right w:val="none" w:sz="0" w:space="0" w:color="auto"/>
      </w:divBdr>
      <w:divsChild>
        <w:div w:id="1614744095">
          <w:marLeft w:val="0"/>
          <w:marRight w:val="0"/>
          <w:marTop w:val="0"/>
          <w:marBottom w:val="225"/>
          <w:divBdr>
            <w:top w:val="none" w:sz="0" w:space="0" w:color="auto"/>
            <w:left w:val="none" w:sz="0" w:space="0" w:color="auto"/>
            <w:bottom w:val="none" w:sz="0" w:space="0" w:color="auto"/>
            <w:right w:val="none" w:sz="0" w:space="0" w:color="auto"/>
          </w:divBdr>
          <w:divsChild>
            <w:div w:id="329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750">
      <w:bodyDiv w:val="1"/>
      <w:marLeft w:val="0"/>
      <w:marRight w:val="0"/>
      <w:marTop w:val="0"/>
      <w:marBottom w:val="0"/>
      <w:divBdr>
        <w:top w:val="none" w:sz="0" w:space="0" w:color="auto"/>
        <w:left w:val="none" w:sz="0" w:space="0" w:color="auto"/>
        <w:bottom w:val="none" w:sz="0" w:space="0" w:color="auto"/>
        <w:right w:val="none" w:sz="0" w:space="0" w:color="auto"/>
      </w:divBdr>
    </w:div>
    <w:div w:id="1352800565">
      <w:bodyDiv w:val="1"/>
      <w:marLeft w:val="0"/>
      <w:marRight w:val="0"/>
      <w:marTop w:val="0"/>
      <w:marBottom w:val="0"/>
      <w:divBdr>
        <w:top w:val="none" w:sz="0" w:space="0" w:color="auto"/>
        <w:left w:val="none" w:sz="0" w:space="0" w:color="auto"/>
        <w:bottom w:val="none" w:sz="0" w:space="0" w:color="auto"/>
        <w:right w:val="none" w:sz="0" w:space="0" w:color="auto"/>
      </w:divBdr>
    </w:div>
    <w:div w:id="1377313459">
      <w:bodyDiv w:val="1"/>
      <w:marLeft w:val="0"/>
      <w:marRight w:val="0"/>
      <w:marTop w:val="0"/>
      <w:marBottom w:val="0"/>
      <w:divBdr>
        <w:top w:val="none" w:sz="0" w:space="0" w:color="auto"/>
        <w:left w:val="none" w:sz="0" w:space="0" w:color="auto"/>
        <w:bottom w:val="none" w:sz="0" w:space="0" w:color="auto"/>
        <w:right w:val="none" w:sz="0" w:space="0" w:color="auto"/>
      </w:divBdr>
    </w:div>
    <w:div w:id="1396273839">
      <w:bodyDiv w:val="1"/>
      <w:marLeft w:val="0"/>
      <w:marRight w:val="0"/>
      <w:marTop w:val="0"/>
      <w:marBottom w:val="0"/>
      <w:divBdr>
        <w:top w:val="none" w:sz="0" w:space="0" w:color="auto"/>
        <w:left w:val="none" w:sz="0" w:space="0" w:color="auto"/>
        <w:bottom w:val="none" w:sz="0" w:space="0" w:color="auto"/>
        <w:right w:val="none" w:sz="0" w:space="0" w:color="auto"/>
      </w:divBdr>
    </w:div>
    <w:div w:id="1401251019">
      <w:bodyDiv w:val="1"/>
      <w:marLeft w:val="0"/>
      <w:marRight w:val="0"/>
      <w:marTop w:val="0"/>
      <w:marBottom w:val="0"/>
      <w:divBdr>
        <w:top w:val="none" w:sz="0" w:space="0" w:color="auto"/>
        <w:left w:val="none" w:sz="0" w:space="0" w:color="auto"/>
        <w:bottom w:val="none" w:sz="0" w:space="0" w:color="auto"/>
        <w:right w:val="none" w:sz="0" w:space="0" w:color="auto"/>
      </w:divBdr>
    </w:div>
    <w:div w:id="1410301868">
      <w:bodyDiv w:val="1"/>
      <w:marLeft w:val="0"/>
      <w:marRight w:val="0"/>
      <w:marTop w:val="0"/>
      <w:marBottom w:val="0"/>
      <w:divBdr>
        <w:top w:val="none" w:sz="0" w:space="0" w:color="auto"/>
        <w:left w:val="none" w:sz="0" w:space="0" w:color="auto"/>
        <w:bottom w:val="none" w:sz="0" w:space="0" w:color="auto"/>
        <w:right w:val="none" w:sz="0" w:space="0" w:color="auto"/>
      </w:divBdr>
    </w:div>
    <w:div w:id="1426000673">
      <w:bodyDiv w:val="1"/>
      <w:marLeft w:val="0"/>
      <w:marRight w:val="0"/>
      <w:marTop w:val="0"/>
      <w:marBottom w:val="0"/>
      <w:divBdr>
        <w:top w:val="none" w:sz="0" w:space="0" w:color="auto"/>
        <w:left w:val="none" w:sz="0" w:space="0" w:color="auto"/>
        <w:bottom w:val="none" w:sz="0" w:space="0" w:color="auto"/>
        <w:right w:val="none" w:sz="0" w:space="0" w:color="auto"/>
      </w:divBdr>
    </w:div>
    <w:div w:id="1428649023">
      <w:bodyDiv w:val="1"/>
      <w:marLeft w:val="0"/>
      <w:marRight w:val="0"/>
      <w:marTop w:val="0"/>
      <w:marBottom w:val="0"/>
      <w:divBdr>
        <w:top w:val="none" w:sz="0" w:space="0" w:color="auto"/>
        <w:left w:val="none" w:sz="0" w:space="0" w:color="auto"/>
        <w:bottom w:val="none" w:sz="0" w:space="0" w:color="auto"/>
        <w:right w:val="none" w:sz="0" w:space="0" w:color="auto"/>
      </w:divBdr>
    </w:div>
    <w:div w:id="1444955966">
      <w:bodyDiv w:val="1"/>
      <w:marLeft w:val="0"/>
      <w:marRight w:val="0"/>
      <w:marTop w:val="0"/>
      <w:marBottom w:val="0"/>
      <w:divBdr>
        <w:top w:val="none" w:sz="0" w:space="0" w:color="auto"/>
        <w:left w:val="none" w:sz="0" w:space="0" w:color="auto"/>
        <w:bottom w:val="none" w:sz="0" w:space="0" w:color="auto"/>
        <w:right w:val="none" w:sz="0" w:space="0" w:color="auto"/>
      </w:divBdr>
      <w:divsChild>
        <w:div w:id="49426534">
          <w:marLeft w:val="0"/>
          <w:marRight w:val="0"/>
          <w:marTop w:val="0"/>
          <w:marBottom w:val="0"/>
          <w:divBdr>
            <w:top w:val="none" w:sz="0" w:space="0" w:color="auto"/>
            <w:left w:val="none" w:sz="0" w:space="0" w:color="auto"/>
            <w:bottom w:val="none" w:sz="0" w:space="0" w:color="auto"/>
            <w:right w:val="none" w:sz="0" w:space="0" w:color="auto"/>
          </w:divBdr>
        </w:div>
      </w:divsChild>
    </w:div>
    <w:div w:id="1487042481">
      <w:bodyDiv w:val="1"/>
      <w:marLeft w:val="0"/>
      <w:marRight w:val="0"/>
      <w:marTop w:val="0"/>
      <w:marBottom w:val="0"/>
      <w:divBdr>
        <w:top w:val="none" w:sz="0" w:space="0" w:color="auto"/>
        <w:left w:val="none" w:sz="0" w:space="0" w:color="auto"/>
        <w:bottom w:val="none" w:sz="0" w:space="0" w:color="auto"/>
        <w:right w:val="none" w:sz="0" w:space="0" w:color="auto"/>
      </w:divBdr>
    </w:div>
    <w:div w:id="1540438699">
      <w:bodyDiv w:val="1"/>
      <w:marLeft w:val="0"/>
      <w:marRight w:val="0"/>
      <w:marTop w:val="0"/>
      <w:marBottom w:val="0"/>
      <w:divBdr>
        <w:top w:val="none" w:sz="0" w:space="0" w:color="auto"/>
        <w:left w:val="none" w:sz="0" w:space="0" w:color="auto"/>
        <w:bottom w:val="none" w:sz="0" w:space="0" w:color="auto"/>
        <w:right w:val="none" w:sz="0" w:space="0" w:color="auto"/>
      </w:divBdr>
    </w:div>
    <w:div w:id="1567375952">
      <w:bodyDiv w:val="1"/>
      <w:marLeft w:val="0"/>
      <w:marRight w:val="0"/>
      <w:marTop w:val="0"/>
      <w:marBottom w:val="0"/>
      <w:divBdr>
        <w:top w:val="none" w:sz="0" w:space="0" w:color="auto"/>
        <w:left w:val="none" w:sz="0" w:space="0" w:color="auto"/>
        <w:bottom w:val="none" w:sz="0" w:space="0" w:color="auto"/>
        <w:right w:val="none" w:sz="0" w:space="0" w:color="auto"/>
      </w:divBdr>
    </w:div>
    <w:div w:id="1567913452">
      <w:bodyDiv w:val="1"/>
      <w:marLeft w:val="0"/>
      <w:marRight w:val="0"/>
      <w:marTop w:val="0"/>
      <w:marBottom w:val="0"/>
      <w:divBdr>
        <w:top w:val="none" w:sz="0" w:space="0" w:color="auto"/>
        <w:left w:val="none" w:sz="0" w:space="0" w:color="auto"/>
        <w:bottom w:val="none" w:sz="0" w:space="0" w:color="auto"/>
        <w:right w:val="none" w:sz="0" w:space="0" w:color="auto"/>
      </w:divBdr>
    </w:div>
    <w:div w:id="1572690379">
      <w:bodyDiv w:val="1"/>
      <w:marLeft w:val="0"/>
      <w:marRight w:val="0"/>
      <w:marTop w:val="0"/>
      <w:marBottom w:val="0"/>
      <w:divBdr>
        <w:top w:val="none" w:sz="0" w:space="0" w:color="auto"/>
        <w:left w:val="none" w:sz="0" w:space="0" w:color="auto"/>
        <w:bottom w:val="none" w:sz="0" w:space="0" w:color="auto"/>
        <w:right w:val="none" w:sz="0" w:space="0" w:color="auto"/>
      </w:divBdr>
    </w:div>
    <w:div w:id="1576940005">
      <w:bodyDiv w:val="1"/>
      <w:marLeft w:val="0"/>
      <w:marRight w:val="0"/>
      <w:marTop w:val="0"/>
      <w:marBottom w:val="0"/>
      <w:divBdr>
        <w:top w:val="none" w:sz="0" w:space="0" w:color="auto"/>
        <w:left w:val="none" w:sz="0" w:space="0" w:color="auto"/>
        <w:bottom w:val="none" w:sz="0" w:space="0" w:color="auto"/>
        <w:right w:val="none" w:sz="0" w:space="0" w:color="auto"/>
      </w:divBdr>
    </w:div>
    <w:div w:id="1603221094">
      <w:bodyDiv w:val="1"/>
      <w:marLeft w:val="0"/>
      <w:marRight w:val="0"/>
      <w:marTop w:val="0"/>
      <w:marBottom w:val="0"/>
      <w:divBdr>
        <w:top w:val="none" w:sz="0" w:space="0" w:color="auto"/>
        <w:left w:val="none" w:sz="0" w:space="0" w:color="auto"/>
        <w:bottom w:val="none" w:sz="0" w:space="0" w:color="auto"/>
        <w:right w:val="none" w:sz="0" w:space="0" w:color="auto"/>
      </w:divBdr>
    </w:div>
    <w:div w:id="1622150303">
      <w:bodyDiv w:val="1"/>
      <w:marLeft w:val="0"/>
      <w:marRight w:val="0"/>
      <w:marTop w:val="0"/>
      <w:marBottom w:val="0"/>
      <w:divBdr>
        <w:top w:val="none" w:sz="0" w:space="0" w:color="auto"/>
        <w:left w:val="none" w:sz="0" w:space="0" w:color="auto"/>
        <w:bottom w:val="none" w:sz="0" w:space="0" w:color="auto"/>
        <w:right w:val="none" w:sz="0" w:space="0" w:color="auto"/>
      </w:divBdr>
    </w:div>
    <w:div w:id="1638948095">
      <w:bodyDiv w:val="1"/>
      <w:marLeft w:val="0"/>
      <w:marRight w:val="0"/>
      <w:marTop w:val="0"/>
      <w:marBottom w:val="0"/>
      <w:divBdr>
        <w:top w:val="none" w:sz="0" w:space="0" w:color="auto"/>
        <w:left w:val="none" w:sz="0" w:space="0" w:color="auto"/>
        <w:bottom w:val="none" w:sz="0" w:space="0" w:color="auto"/>
        <w:right w:val="none" w:sz="0" w:space="0" w:color="auto"/>
      </w:divBdr>
    </w:div>
    <w:div w:id="1641301102">
      <w:bodyDiv w:val="1"/>
      <w:marLeft w:val="0"/>
      <w:marRight w:val="0"/>
      <w:marTop w:val="0"/>
      <w:marBottom w:val="0"/>
      <w:divBdr>
        <w:top w:val="none" w:sz="0" w:space="0" w:color="auto"/>
        <w:left w:val="none" w:sz="0" w:space="0" w:color="auto"/>
        <w:bottom w:val="none" w:sz="0" w:space="0" w:color="auto"/>
        <w:right w:val="none" w:sz="0" w:space="0" w:color="auto"/>
      </w:divBdr>
    </w:div>
    <w:div w:id="1661276991">
      <w:bodyDiv w:val="1"/>
      <w:marLeft w:val="0"/>
      <w:marRight w:val="0"/>
      <w:marTop w:val="0"/>
      <w:marBottom w:val="0"/>
      <w:divBdr>
        <w:top w:val="none" w:sz="0" w:space="0" w:color="auto"/>
        <w:left w:val="none" w:sz="0" w:space="0" w:color="auto"/>
        <w:bottom w:val="none" w:sz="0" w:space="0" w:color="auto"/>
        <w:right w:val="none" w:sz="0" w:space="0" w:color="auto"/>
      </w:divBdr>
    </w:div>
    <w:div w:id="1669483088">
      <w:bodyDiv w:val="1"/>
      <w:marLeft w:val="0"/>
      <w:marRight w:val="0"/>
      <w:marTop w:val="0"/>
      <w:marBottom w:val="0"/>
      <w:divBdr>
        <w:top w:val="none" w:sz="0" w:space="0" w:color="auto"/>
        <w:left w:val="none" w:sz="0" w:space="0" w:color="auto"/>
        <w:bottom w:val="none" w:sz="0" w:space="0" w:color="auto"/>
        <w:right w:val="none" w:sz="0" w:space="0" w:color="auto"/>
      </w:divBdr>
    </w:div>
    <w:div w:id="1681006506">
      <w:bodyDiv w:val="1"/>
      <w:marLeft w:val="0"/>
      <w:marRight w:val="0"/>
      <w:marTop w:val="0"/>
      <w:marBottom w:val="0"/>
      <w:divBdr>
        <w:top w:val="none" w:sz="0" w:space="0" w:color="auto"/>
        <w:left w:val="none" w:sz="0" w:space="0" w:color="auto"/>
        <w:bottom w:val="none" w:sz="0" w:space="0" w:color="auto"/>
        <w:right w:val="none" w:sz="0" w:space="0" w:color="auto"/>
      </w:divBdr>
    </w:div>
    <w:div w:id="1687754113">
      <w:bodyDiv w:val="1"/>
      <w:marLeft w:val="0"/>
      <w:marRight w:val="0"/>
      <w:marTop w:val="0"/>
      <w:marBottom w:val="0"/>
      <w:divBdr>
        <w:top w:val="none" w:sz="0" w:space="0" w:color="auto"/>
        <w:left w:val="none" w:sz="0" w:space="0" w:color="auto"/>
        <w:bottom w:val="none" w:sz="0" w:space="0" w:color="auto"/>
        <w:right w:val="none" w:sz="0" w:space="0" w:color="auto"/>
      </w:divBdr>
    </w:div>
    <w:div w:id="1692292115">
      <w:bodyDiv w:val="1"/>
      <w:marLeft w:val="0"/>
      <w:marRight w:val="0"/>
      <w:marTop w:val="0"/>
      <w:marBottom w:val="0"/>
      <w:divBdr>
        <w:top w:val="none" w:sz="0" w:space="0" w:color="auto"/>
        <w:left w:val="none" w:sz="0" w:space="0" w:color="auto"/>
        <w:bottom w:val="none" w:sz="0" w:space="0" w:color="auto"/>
        <w:right w:val="none" w:sz="0" w:space="0" w:color="auto"/>
      </w:divBdr>
      <w:divsChild>
        <w:div w:id="1580288515">
          <w:marLeft w:val="0"/>
          <w:marRight w:val="0"/>
          <w:marTop w:val="0"/>
          <w:marBottom w:val="0"/>
          <w:divBdr>
            <w:top w:val="none" w:sz="0" w:space="0" w:color="auto"/>
            <w:left w:val="none" w:sz="0" w:space="0" w:color="auto"/>
            <w:bottom w:val="none" w:sz="0" w:space="0" w:color="auto"/>
            <w:right w:val="none" w:sz="0" w:space="0" w:color="auto"/>
          </w:divBdr>
        </w:div>
      </w:divsChild>
    </w:div>
    <w:div w:id="1701275919">
      <w:bodyDiv w:val="1"/>
      <w:marLeft w:val="0"/>
      <w:marRight w:val="0"/>
      <w:marTop w:val="0"/>
      <w:marBottom w:val="0"/>
      <w:divBdr>
        <w:top w:val="none" w:sz="0" w:space="0" w:color="auto"/>
        <w:left w:val="none" w:sz="0" w:space="0" w:color="auto"/>
        <w:bottom w:val="none" w:sz="0" w:space="0" w:color="auto"/>
        <w:right w:val="none" w:sz="0" w:space="0" w:color="auto"/>
      </w:divBdr>
    </w:div>
    <w:div w:id="1733498896">
      <w:bodyDiv w:val="1"/>
      <w:marLeft w:val="0"/>
      <w:marRight w:val="0"/>
      <w:marTop w:val="0"/>
      <w:marBottom w:val="0"/>
      <w:divBdr>
        <w:top w:val="none" w:sz="0" w:space="0" w:color="auto"/>
        <w:left w:val="none" w:sz="0" w:space="0" w:color="auto"/>
        <w:bottom w:val="none" w:sz="0" w:space="0" w:color="auto"/>
        <w:right w:val="none" w:sz="0" w:space="0" w:color="auto"/>
      </w:divBdr>
    </w:div>
    <w:div w:id="1780562734">
      <w:bodyDiv w:val="1"/>
      <w:marLeft w:val="0"/>
      <w:marRight w:val="0"/>
      <w:marTop w:val="0"/>
      <w:marBottom w:val="0"/>
      <w:divBdr>
        <w:top w:val="none" w:sz="0" w:space="0" w:color="auto"/>
        <w:left w:val="none" w:sz="0" w:space="0" w:color="auto"/>
        <w:bottom w:val="none" w:sz="0" w:space="0" w:color="auto"/>
        <w:right w:val="none" w:sz="0" w:space="0" w:color="auto"/>
      </w:divBdr>
    </w:div>
    <w:div w:id="1795905435">
      <w:bodyDiv w:val="1"/>
      <w:marLeft w:val="0"/>
      <w:marRight w:val="0"/>
      <w:marTop w:val="0"/>
      <w:marBottom w:val="0"/>
      <w:divBdr>
        <w:top w:val="none" w:sz="0" w:space="0" w:color="auto"/>
        <w:left w:val="none" w:sz="0" w:space="0" w:color="auto"/>
        <w:bottom w:val="none" w:sz="0" w:space="0" w:color="auto"/>
        <w:right w:val="none" w:sz="0" w:space="0" w:color="auto"/>
      </w:divBdr>
    </w:div>
    <w:div w:id="1805149189">
      <w:bodyDiv w:val="1"/>
      <w:marLeft w:val="0"/>
      <w:marRight w:val="0"/>
      <w:marTop w:val="0"/>
      <w:marBottom w:val="0"/>
      <w:divBdr>
        <w:top w:val="none" w:sz="0" w:space="0" w:color="auto"/>
        <w:left w:val="none" w:sz="0" w:space="0" w:color="auto"/>
        <w:bottom w:val="none" w:sz="0" w:space="0" w:color="auto"/>
        <w:right w:val="none" w:sz="0" w:space="0" w:color="auto"/>
      </w:divBdr>
    </w:div>
    <w:div w:id="1831677697">
      <w:bodyDiv w:val="1"/>
      <w:marLeft w:val="0"/>
      <w:marRight w:val="0"/>
      <w:marTop w:val="0"/>
      <w:marBottom w:val="0"/>
      <w:divBdr>
        <w:top w:val="none" w:sz="0" w:space="0" w:color="auto"/>
        <w:left w:val="none" w:sz="0" w:space="0" w:color="auto"/>
        <w:bottom w:val="none" w:sz="0" w:space="0" w:color="auto"/>
        <w:right w:val="none" w:sz="0" w:space="0" w:color="auto"/>
      </w:divBdr>
    </w:div>
    <w:div w:id="1848904401">
      <w:bodyDiv w:val="1"/>
      <w:marLeft w:val="0"/>
      <w:marRight w:val="0"/>
      <w:marTop w:val="0"/>
      <w:marBottom w:val="0"/>
      <w:divBdr>
        <w:top w:val="none" w:sz="0" w:space="0" w:color="auto"/>
        <w:left w:val="none" w:sz="0" w:space="0" w:color="auto"/>
        <w:bottom w:val="none" w:sz="0" w:space="0" w:color="auto"/>
        <w:right w:val="none" w:sz="0" w:space="0" w:color="auto"/>
      </w:divBdr>
    </w:div>
    <w:div w:id="1853032685">
      <w:bodyDiv w:val="1"/>
      <w:marLeft w:val="0"/>
      <w:marRight w:val="0"/>
      <w:marTop w:val="0"/>
      <w:marBottom w:val="0"/>
      <w:divBdr>
        <w:top w:val="none" w:sz="0" w:space="0" w:color="auto"/>
        <w:left w:val="none" w:sz="0" w:space="0" w:color="auto"/>
        <w:bottom w:val="none" w:sz="0" w:space="0" w:color="auto"/>
        <w:right w:val="none" w:sz="0" w:space="0" w:color="auto"/>
      </w:divBdr>
    </w:div>
    <w:div w:id="1869484859">
      <w:bodyDiv w:val="1"/>
      <w:marLeft w:val="0"/>
      <w:marRight w:val="0"/>
      <w:marTop w:val="0"/>
      <w:marBottom w:val="0"/>
      <w:divBdr>
        <w:top w:val="none" w:sz="0" w:space="0" w:color="auto"/>
        <w:left w:val="none" w:sz="0" w:space="0" w:color="auto"/>
        <w:bottom w:val="none" w:sz="0" w:space="0" w:color="auto"/>
        <w:right w:val="none" w:sz="0" w:space="0" w:color="auto"/>
      </w:divBdr>
    </w:div>
    <w:div w:id="1883444152">
      <w:bodyDiv w:val="1"/>
      <w:marLeft w:val="0"/>
      <w:marRight w:val="0"/>
      <w:marTop w:val="0"/>
      <w:marBottom w:val="0"/>
      <w:divBdr>
        <w:top w:val="none" w:sz="0" w:space="0" w:color="auto"/>
        <w:left w:val="none" w:sz="0" w:space="0" w:color="auto"/>
        <w:bottom w:val="none" w:sz="0" w:space="0" w:color="auto"/>
        <w:right w:val="none" w:sz="0" w:space="0" w:color="auto"/>
      </w:divBdr>
    </w:div>
    <w:div w:id="1883517780">
      <w:bodyDiv w:val="1"/>
      <w:marLeft w:val="0"/>
      <w:marRight w:val="0"/>
      <w:marTop w:val="0"/>
      <w:marBottom w:val="0"/>
      <w:divBdr>
        <w:top w:val="none" w:sz="0" w:space="0" w:color="auto"/>
        <w:left w:val="none" w:sz="0" w:space="0" w:color="auto"/>
        <w:bottom w:val="none" w:sz="0" w:space="0" w:color="auto"/>
        <w:right w:val="none" w:sz="0" w:space="0" w:color="auto"/>
      </w:divBdr>
    </w:div>
    <w:div w:id="1891719725">
      <w:bodyDiv w:val="1"/>
      <w:marLeft w:val="0"/>
      <w:marRight w:val="0"/>
      <w:marTop w:val="0"/>
      <w:marBottom w:val="0"/>
      <w:divBdr>
        <w:top w:val="none" w:sz="0" w:space="0" w:color="auto"/>
        <w:left w:val="none" w:sz="0" w:space="0" w:color="auto"/>
        <w:bottom w:val="none" w:sz="0" w:space="0" w:color="auto"/>
        <w:right w:val="none" w:sz="0" w:space="0" w:color="auto"/>
      </w:divBdr>
    </w:div>
    <w:div w:id="1907451398">
      <w:bodyDiv w:val="1"/>
      <w:marLeft w:val="0"/>
      <w:marRight w:val="0"/>
      <w:marTop w:val="0"/>
      <w:marBottom w:val="0"/>
      <w:divBdr>
        <w:top w:val="none" w:sz="0" w:space="0" w:color="auto"/>
        <w:left w:val="none" w:sz="0" w:space="0" w:color="auto"/>
        <w:bottom w:val="none" w:sz="0" w:space="0" w:color="auto"/>
        <w:right w:val="none" w:sz="0" w:space="0" w:color="auto"/>
      </w:divBdr>
    </w:div>
    <w:div w:id="1908301801">
      <w:bodyDiv w:val="1"/>
      <w:marLeft w:val="0"/>
      <w:marRight w:val="0"/>
      <w:marTop w:val="0"/>
      <w:marBottom w:val="0"/>
      <w:divBdr>
        <w:top w:val="none" w:sz="0" w:space="0" w:color="auto"/>
        <w:left w:val="none" w:sz="0" w:space="0" w:color="auto"/>
        <w:bottom w:val="none" w:sz="0" w:space="0" w:color="auto"/>
        <w:right w:val="none" w:sz="0" w:space="0" w:color="auto"/>
      </w:divBdr>
    </w:div>
    <w:div w:id="1932472400">
      <w:bodyDiv w:val="1"/>
      <w:marLeft w:val="0"/>
      <w:marRight w:val="0"/>
      <w:marTop w:val="0"/>
      <w:marBottom w:val="0"/>
      <w:divBdr>
        <w:top w:val="none" w:sz="0" w:space="0" w:color="auto"/>
        <w:left w:val="none" w:sz="0" w:space="0" w:color="auto"/>
        <w:bottom w:val="none" w:sz="0" w:space="0" w:color="auto"/>
        <w:right w:val="none" w:sz="0" w:space="0" w:color="auto"/>
      </w:divBdr>
    </w:div>
    <w:div w:id="1941181993">
      <w:bodyDiv w:val="1"/>
      <w:marLeft w:val="0"/>
      <w:marRight w:val="0"/>
      <w:marTop w:val="0"/>
      <w:marBottom w:val="0"/>
      <w:divBdr>
        <w:top w:val="none" w:sz="0" w:space="0" w:color="auto"/>
        <w:left w:val="none" w:sz="0" w:space="0" w:color="auto"/>
        <w:bottom w:val="none" w:sz="0" w:space="0" w:color="auto"/>
        <w:right w:val="none" w:sz="0" w:space="0" w:color="auto"/>
      </w:divBdr>
    </w:div>
    <w:div w:id="1984968156">
      <w:bodyDiv w:val="1"/>
      <w:marLeft w:val="0"/>
      <w:marRight w:val="0"/>
      <w:marTop w:val="0"/>
      <w:marBottom w:val="0"/>
      <w:divBdr>
        <w:top w:val="none" w:sz="0" w:space="0" w:color="auto"/>
        <w:left w:val="none" w:sz="0" w:space="0" w:color="auto"/>
        <w:bottom w:val="none" w:sz="0" w:space="0" w:color="auto"/>
        <w:right w:val="none" w:sz="0" w:space="0" w:color="auto"/>
      </w:divBdr>
    </w:div>
    <w:div w:id="2001931974">
      <w:bodyDiv w:val="1"/>
      <w:marLeft w:val="0"/>
      <w:marRight w:val="0"/>
      <w:marTop w:val="0"/>
      <w:marBottom w:val="0"/>
      <w:divBdr>
        <w:top w:val="none" w:sz="0" w:space="0" w:color="auto"/>
        <w:left w:val="none" w:sz="0" w:space="0" w:color="auto"/>
        <w:bottom w:val="none" w:sz="0" w:space="0" w:color="auto"/>
        <w:right w:val="none" w:sz="0" w:space="0" w:color="auto"/>
      </w:divBdr>
    </w:div>
    <w:div w:id="2022507258">
      <w:bodyDiv w:val="1"/>
      <w:marLeft w:val="0"/>
      <w:marRight w:val="0"/>
      <w:marTop w:val="0"/>
      <w:marBottom w:val="0"/>
      <w:divBdr>
        <w:top w:val="none" w:sz="0" w:space="0" w:color="auto"/>
        <w:left w:val="none" w:sz="0" w:space="0" w:color="auto"/>
        <w:bottom w:val="none" w:sz="0" w:space="0" w:color="auto"/>
        <w:right w:val="none" w:sz="0" w:space="0" w:color="auto"/>
      </w:divBdr>
    </w:div>
    <w:div w:id="2031486431">
      <w:bodyDiv w:val="1"/>
      <w:marLeft w:val="0"/>
      <w:marRight w:val="0"/>
      <w:marTop w:val="0"/>
      <w:marBottom w:val="0"/>
      <w:divBdr>
        <w:top w:val="none" w:sz="0" w:space="0" w:color="auto"/>
        <w:left w:val="none" w:sz="0" w:space="0" w:color="auto"/>
        <w:bottom w:val="none" w:sz="0" w:space="0" w:color="auto"/>
        <w:right w:val="none" w:sz="0" w:space="0" w:color="auto"/>
      </w:divBdr>
    </w:div>
    <w:div w:id="2045473346">
      <w:bodyDiv w:val="1"/>
      <w:marLeft w:val="0"/>
      <w:marRight w:val="0"/>
      <w:marTop w:val="0"/>
      <w:marBottom w:val="0"/>
      <w:divBdr>
        <w:top w:val="none" w:sz="0" w:space="0" w:color="auto"/>
        <w:left w:val="none" w:sz="0" w:space="0" w:color="auto"/>
        <w:bottom w:val="none" w:sz="0" w:space="0" w:color="auto"/>
        <w:right w:val="none" w:sz="0" w:space="0" w:color="auto"/>
      </w:divBdr>
    </w:div>
    <w:div w:id="2085568914">
      <w:bodyDiv w:val="1"/>
      <w:marLeft w:val="0"/>
      <w:marRight w:val="0"/>
      <w:marTop w:val="0"/>
      <w:marBottom w:val="0"/>
      <w:divBdr>
        <w:top w:val="none" w:sz="0" w:space="0" w:color="auto"/>
        <w:left w:val="none" w:sz="0" w:space="0" w:color="auto"/>
        <w:bottom w:val="none" w:sz="0" w:space="0" w:color="auto"/>
        <w:right w:val="none" w:sz="0" w:space="0" w:color="auto"/>
      </w:divBdr>
    </w:div>
    <w:div w:id="2092659189">
      <w:bodyDiv w:val="1"/>
      <w:marLeft w:val="0"/>
      <w:marRight w:val="0"/>
      <w:marTop w:val="0"/>
      <w:marBottom w:val="0"/>
      <w:divBdr>
        <w:top w:val="none" w:sz="0" w:space="0" w:color="auto"/>
        <w:left w:val="none" w:sz="0" w:space="0" w:color="auto"/>
        <w:bottom w:val="none" w:sz="0" w:space="0" w:color="auto"/>
        <w:right w:val="none" w:sz="0" w:space="0" w:color="auto"/>
      </w:divBdr>
    </w:div>
    <w:div w:id="2108377930">
      <w:bodyDiv w:val="1"/>
      <w:marLeft w:val="0"/>
      <w:marRight w:val="0"/>
      <w:marTop w:val="0"/>
      <w:marBottom w:val="0"/>
      <w:divBdr>
        <w:top w:val="none" w:sz="0" w:space="0" w:color="auto"/>
        <w:left w:val="none" w:sz="0" w:space="0" w:color="auto"/>
        <w:bottom w:val="none" w:sz="0" w:space="0" w:color="auto"/>
        <w:right w:val="none" w:sz="0" w:space="0" w:color="auto"/>
      </w:divBdr>
      <w:divsChild>
        <w:div w:id="1233078160">
          <w:marLeft w:val="0"/>
          <w:marRight w:val="0"/>
          <w:marTop w:val="0"/>
          <w:marBottom w:val="0"/>
          <w:divBdr>
            <w:top w:val="single" w:sz="2" w:space="0" w:color="auto"/>
            <w:left w:val="single" w:sz="2" w:space="0" w:color="auto"/>
            <w:bottom w:val="single" w:sz="2" w:space="0" w:color="auto"/>
            <w:right w:val="single" w:sz="2" w:space="0" w:color="auto"/>
          </w:divBdr>
        </w:div>
      </w:divsChild>
    </w:div>
    <w:div w:id="2116901788">
      <w:bodyDiv w:val="1"/>
      <w:marLeft w:val="0"/>
      <w:marRight w:val="0"/>
      <w:marTop w:val="0"/>
      <w:marBottom w:val="0"/>
      <w:divBdr>
        <w:top w:val="none" w:sz="0" w:space="0" w:color="auto"/>
        <w:left w:val="none" w:sz="0" w:space="0" w:color="auto"/>
        <w:bottom w:val="none" w:sz="0" w:space="0" w:color="auto"/>
        <w:right w:val="none" w:sz="0" w:space="0" w:color="auto"/>
      </w:divBdr>
    </w:div>
    <w:div w:id="2132899737">
      <w:bodyDiv w:val="1"/>
      <w:marLeft w:val="0"/>
      <w:marRight w:val="0"/>
      <w:marTop w:val="0"/>
      <w:marBottom w:val="0"/>
      <w:divBdr>
        <w:top w:val="none" w:sz="0" w:space="0" w:color="auto"/>
        <w:left w:val="none" w:sz="0" w:space="0" w:color="auto"/>
        <w:bottom w:val="none" w:sz="0" w:space="0" w:color="auto"/>
        <w:right w:val="none" w:sz="0" w:space="0" w:color="auto"/>
      </w:divBdr>
    </w:div>
    <w:div w:id="2140686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diagramQuickStyle" Target="diagrams/quickStyle1.xml"/><Relationship Id="rId26" Type="http://schemas.openxmlformats.org/officeDocument/2006/relationships/chart" Target="charts/chart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Data" Target="diagrams/data2.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hmicfrs.justiceinspectorates.gov.uk/glossary/procedural-jus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2.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QuickStyle" Target="diagrams/quickStyle2.xml"/><Relationship Id="rId28" Type="http://schemas.openxmlformats.org/officeDocument/2006/relationships/hyperlink" Target="https://hmicfrs.justiceinspectorates.gov.uk/glossary/victim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2.xml"/><Relationship Id="rId27" Type="http://schemas.openxmlformats.org/officeDocument/2006/relationships/chart" Target="charts/chart2.xml"/><Relationship Id="rId30" Type="http://schemas.openxmlformats.org/officeDocument/2006/relationships/hyperlink" Target="https://hmicfrs.justiceinspectorates.gov.uk/glossary/digital-forensics/"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watch.co.uk/sites/healthwatch.co.uk/files/20240912%20-%20Cervical%20Screening%20Report%20V3%20-%20final.pdf" TargetMode="External"/><Relationship Id="rId13" Type="http://schemas.openxmlformats.org/officeDocument/2006/relationships/hyperlink" Target="https://www.endviolenceagainstwomen.org.uk/wp-content/uploads/2021/11/EVAW_SexualViolence_211028-1.xls-Compatibility-Mode.pdf" TargetMode="External"/><Relationship Id="rId18" Type="http://schemas.openxmlformats.org/officeDocument/2006/relationships/hyperlink" Target="https://www.unison.org.uk/news/2024/04/nhs-staff-have-been-shown-porn-and-offered-money-for-sex-at-work/" TargetMode="External"/><Relationship Id="rId26" Type="http://schemas.openxmlformats.org/officeDocument/2006/relationships/hyperlink" Target="https://revengepornhelpline.org.uk/assets/documents/revenge-porn-helpline-report-2023.pdf?_=1714738699" TargetMode="External"/><Relationship Id="rId39" Type="http://schemas.openxmlformats.org/officeDocument/2006/relationships/hyperlink" Target="https://safelives.org.uk/sites/default/files/resources/Insights%20sexual%20violence%20pilot.pdf" TargetMode="External"/><Relationship Id="rId3" Type="http://schemas.openxmlformats.org/officeDocument/2006/relationships/hyperlink" Target="https://www.btp.police.uk/SysSiteAssets/foi-media/british-transport-police/foi-requests/foi-response-01-foi-23-2317-sexual-offences.pdf" TargetMode="External"/><Relationship Id="rId21" Type="http://schemas.openxmlformats.org/officeDocument/2006/relationships/hyperlink" Target="https://www.tuc.org.uk/news/new-tuc-poll-2-3-young-women-have-experienced-sexual-harassment-bullying-or-verbal-abuse-work" TargetMode="External"/><Relationship Id="rId34" Type="http://schemas.openxmlformats.org/officeDocument/2006/relationships/hyperlink" Target="https://newcastle.gov.uk/sites/default/files/Final%20JSCR%20Report%20160218%20PW.PDF" TargetMode="External"/><Relationship Id="rId42" Type="http://schemas.openxmlformats.org/officeDocument/2006/relationships/hyperlink" Target="https://static1.squarespace.com/static/5ad1d14fe749409995305697/t/6560caa7b652be535f0d5bc9/1700842153989/Saffron+Sheffield+Annual+Report+2023.pdf" TargetMode="External"/><Relationship Id="rId7" Type="http://schemas.openxmlformats.org/officeDocument/2006/relationships/hyperlink" Target="https://www.england.nhs.uk/2024/06/nhs-urges-more-women-to-take-up-cervical-screening-invitations/" TargetMode="External"/><Relationship Id="rId12" Type="http://schemas.openxmlformats.org/officeDocument/2006/relationships/hyperlink" Target="https://www.ons.gov.uk/peoplepopulationandcommunity/crimeandjustice/articles/natureofsexualassaultbyrapeorpenetrationenglandandwales/yearendingmarch2020" TargetMode="External"/><Relationship Id="rId17" Type="http://schemas.openxmlformats.org/officeDocument/2006/relationships/hyperlink" Target="https://data.justice.gov.uk/prisons" TargetMode="External"/><Relationship Id="rId25" Type="http://schemas.openxmlformats.org/officeDocument/2006/relationships/hyperlink" Target="https://www.cps.gov.uk/cps/news/revenge-porn-victims-are-often-stalked-and-harassed-ex-partners" TargetMode="External"/><Relationship Id="rId33" Type="http://schemas.openxmlformats.org/officeDocument/2006/relationships/hyperlink" Target="https://www.researchgate.net/profile/Amy-Burrell/publication/373895390_Spiking_Prevalence_and_Motivation/links/6501dadd9763a22fa3df74e0/Spiking-Prevalence-and-Motivation.pdf" TargetMode="External"/><Relationship Id="rId38" Type="http://schemas.openxmlformats.org/officeDocument/2006/relationships/hyperlink" Target="https://www.google.com/url?sa=t&amp;rct=j&amp;q=&amp;esrc=s&amp;source=web&amp;cd=&amp;ved=2ahUKEwjozKapwOmDAxUbXUEAHWInAecQFnoECB0QAQ&amp;url=https%3A%2F%2Fwww.ons.gov.uk%2Fpeoplepopulationandcommunity%2Fcrimeandjustice%2Fbulletins%2Fsexualoffencesinenglandandwalesoverview%2Fmarch2022&amp;usg=AOvVaw257RDXXDu-HrLi4lhmU9vI&amp;opi=89978449" TargetMode="External"/><Relationship Id="rId2" Type="http://schemas.openxmlformats.org/officeDocument/2006/relationships/hyperlink" Target="https://www.ons.gov.uk/peoplepopulationandcommunity/healthandsocialcare/disability/bulletins/disabilityandcrimeuk/2019" TargetMode="External"/><Relationship Id="rId16" Type="http://schemas.openxmlformats.org/officeDocument/2006/relationships/hyperlink" Target="https://www.southyorkshire.police.uk/foi-ai/south-yorkshire-police/foi/june-2023/other/registered-sex-offenders-rsos-and-sexual-harm-prevention-orders-shpos/" TargetMode="External"/><Relationship Id="rId20" Type="http://schemas.openxmlformats.org/officeDocument/2006/relationships/hyperlink" Target="https://www.btp.police.uk/news/btp/news/england/over-a-third-of-women-have-been-sexually-harassed-on-their-commute-to-work/" TargetMode="External"/><Relationship Id="rId29" Type="http://schemas.openxmlformats.org/officeDocument/2006/relationships/hyperlink" Target="https://www.gov.uk/government/publications/spiking-factsheet/spiking-factsheet" TargetMode="External"/><Relationship Id="rId41" Type="http://schemas.openxmlformats.org/officeDocument/2006/relationships/hyperlink" Target="https://rapecrisis.org.uk/news/rape-crisis-centres-at-risk-of-closure-without-a-commitment-to-continued-funding-after-march-2025/" TargetMode="External"/><Relationship Id="rId1" Type="http://schemas.openxmlformats.org/officeDocument/2006/relationships/hyperlink" Target="https://galop.org.uk/resource/sexual-violence-a-snapshot-of-those-harming-lgbt-people/" TargetMode="External"/><Relationship Id="rId6" Type="http://schemas.openxmlformats.org/officeDocument/2006/relationships/hyperlink" Target="https://www.ons.gov.uk/peoplepopulationandcommunity/crimeandjustice/articles/natureofsexualassaultbyrapeorpenetrationenglandandwales/yearendingmarch2020" TargetMode="External"/><Relationship Id="rId11" Type="http://schemas.openxmlformats.org/officeDocument/2006/relationships/hyperlink" Target="https://www.ons.gov.uk/peoplepopulationandcommunity/crimeandjustice/articles/sexualoffencesvictimcharacteristicsenglandandwales/yearendingmarch2022" TargetMode="External"/><Relationship Id="rId24" Type="http://schemas.openxmlformats.org/officeDocument/2006/relationships/hyperlink" Target="https://www.cps.gov.uk/foi/2024/prosecution-and-conviction-data-s67a-sexual-offences-act-2003-upskirting-2019-2023" TargetMode="External"/><Relationship Id="rId32" Type="http://schemas.openxmlformats.org/officeDocument/2006/relationships/hyperlink" Target="https://www.southyorks.police.uk/find-out/accessing-information/request-information-under-the-freedom-of-information-act/reported-spiking-incidents-drink-and-needle-ref-23009623/" TargetMode="External"/><Relationship Id="rId37" Type="http://schemas.openxmlformats.org/officeDocument/2006/relationships/hyperlink" Target="http://mesarch.coventry.ac.uk/wp-content/uploads/2021/10/Mesarch-Infographic-Final.pdf" TargetMode="External"/><Relationship Id="rId40" Type="http://schemas.openxmlformats.org/officeDocument/2006/relationships/hyperlink" Target="https://hmicfrs.justiceinspectorates.gov.uk/publication-html/progress-to-introduce-a-national-operating-model-for-rape-and-other-serious-sexual-offences-investigations/" TargetMode="External"/><Relationship Id="rId5" Type="http://schemas.openxmlformats.org/officeDocument/2006/relationships/hyperlink" Target="https://www.ons.gov.uk/peoplepopulationandcommunity/crimeandjustice/articles/natureofsexualassaultbyrapeorpenetrationenglandandwales/yearendingmarch2020" TargetMode="External"/><Relationship Id="rId15" Type="http://schemas.openxmlformats.org/officeDocument/2006/relationships/hyperlink" Target="https://assets.publishing.service.gov.uk/media/653a413ae6c968000daa9b6f/South_Yorkshire_MAPPA_Annual_Report_2022_to_2023.docx" TargetMode="External"/><Relationship Id="rId23" Type="http://schemas.openxmlformats.org/officeDocument/2006/relationships/hyperlink" Target="https://www.cps.gov.uk/cps/news/upskirting-public-urged-report-offenders-prosecutions-double" TargetMode="External"/><Relationship Id="rId28" Type="http://schemas.openxmlformats.org/officeDocument/2006/relationships/hyperlink" Target="https://www.southyorkshire.police.uk/foi-ai/south-yorkshire-police/foi/june-2023/crime-and-arrest-stats/revenge-porn-crimes-2023/" TargetMode="External"/><Relationship Id="rId36" Type="http://schemas.openxmlformats.org/officeDocument/2006/relationships/hyperlink" Target="https://charts.censuswide.com/CW8999RS/CW8999RS_VIbox.html" TargetMode="External"/><Relationship Id="rId10" Type="http://schemas.openxmlformats.org/officeDocument/2006/relationships/hyperlink" Target="https://doi.org/10.1332/23986808y2024d000000024" TargetMode="External"/><Relationship Id="rId19" Type="http://schemas.openxmlformats.org/officeDocument/2006/relationships/hyperlink" Target="https://scholar.google.co.uk/citations?view_op=view_citation&amp;hl=th&amp;user=15gY7jkAAAAJ&amp;sortby=pubdate&amp;citation_for_view=15gY7jkAAAAJ:9ZlFYXVOiuMC" TargetMode="External"/><Relationship Id="rId31" Type="http://schemas.openxmlformats.org/officeDocument/2006/relationships/hyperlink" Target="https://www.southyorks.police.uk/find-out/accessing-information/request-information-under-the-freedom-of-information-act/reported-incidents-of-drink-spiking-ref-23009780-1/" TargetMode="External"/><Relationship Id="rId44" Type="http://schemas.openxmlformats.org/officeDocument/2006/relationships/hyperlink" Target="https://www.snowdropproject.co.uk/" TargetMode="External"/><Relationship Id="rId4" Type="http://schemas.openxmlformats.org/officeDocument/2006/relationships/hyperlink" Target="https://www.ons.gov.uk/peoplepopulationandcommunity/crimeandjustice/articles/natureofsexualassaultbyrapeorpenetrationenglandandwales/yearendingmarch2020" TargetMode="External"/><Relationship Id="rId9" Type="http://schemas.openxmlformats.org/officeDocument/2006/relationships/hyperlink" Target="https://openaccess.city.ac.uk/view/creators_id/annie=2Ebunce.html" TargetMode="External"/><Relationship Id="rId14" Type="http://schemas.openxmlformats.org/officeDocument/2006/relationships/hyperlink" Target="https://www.ons.gov.uk/peoplepopulationandcommunity/crimeandjustice/articles/natureofsexualassaultbyrapeorpenetrationenglandandwales/yearendingmarch2020" TargetMode="External"/><Relationship Id="rId22" Type="http://schemas.openxmlformats.org/officeDocument/2006/relationships/hyperlink" Target="https://assets.publishing.service.gov.uk/media/669a5b69a3c2a28abb50d309/prc-pfa-mar2013-onwards-tables-240724.ods" TargetMode="External"/><Relationship Id="rId27" Type="http://schemas.openxmlformats.org/officeDocument/2006/relationships/hyperlink" Target="https://assets.publishing.service.gov.uk/media/669a5b69a3c2a28abb50d309/prc-pfa-mar2013-onwards-tables-240724.ods" TargetMode="External"/><Relationship Id="rId30" Type="http://schemas.openxmlformats.org/officeDocument/2006/relationships/hyperlink" Target="https://www.gov.uk/government/publications/spiking-factsheet/spiking-factsheet" TargetMode="External"/><Relationship Id="rId35" Type="http://schemas.openxmlformats.org/officeDocument/2006/relationships/hyperlink" Target="https://changinglives.cdn.prismic.io/changinglives/ZqOGbx5LeNNTxhYV_ASEPartnershipTacklingAdultSexualExploitationReport.pdf" TargetMode="External"/><Relationship Id="rId43" Type="http://schemas.openxmlformats.org/officeDocument/2006/relationships/hyperlink" Target="https://static1.squarespace.com/static/5ad1d14fe749409995305697/t/66a0f2783aaf4b41727a9d25/1721823873178/Saffron+Sheffield+Impact+Report+2023-24+PDF+Download.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Improving Victim</a:t>
            </a:r>
            <a:r>
              <a:rPr lang="en-GB" baseline="0"/>
              <a:t> Engagement: CJS Data Dashboard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tx>
            <c:strRef>
              <c:f>Sheet2!$B$1</c:f>
              <c:strCache>
                <c:ptCount val="1"/>
                <c:pt idx="0">
                  <c:v>National </c:v>
                </c:pt>
              </c:strCache>
            </c:strRef>
          </c:tx>
          <c:spPr>
            <a:solidFill>
              <a:schemeClr val="accent1"/>
            </a:solidFill>
            <a:ln>
              <a:noFill/>
            </a:ln>
            <a:effectLst/>
          </c:spPr>
          <c:invertIfNegative val="0"/>
          <c:cat>
            <c:strRef>
              <c:f>Sheet2!$A$2:$A$4</c:f>
              <c:strCache>
                <c:ptCount val="3"/>
                <c:pt idx="0">
                  <c:v>Investigations closed because the victim does not support police action (%)</c:v>
                </c:pt>
                <c:pt idx="1">
                  <c:v>Cases stopped after a defendant has been charged because a victim no longer supports the prosecution (%)</c:v>
                </c:pt>
                <c:pt idx="2">
                  <c:v>Cases in which the victim or witness no longer supports prosecution on the day of trial (%)</c:v>
                </c:pt>
              </c:strCache>
            </c:strRef>
          </c:cat>
          <c:val>
            <c:numRef>
              <c:f>Sheet2!$B$2:$B$4</c:f>
              <c:numCache>
                <c:formatCode>General</c:formatCode>
                <c:ptCount val="3"/>
                <c:pt idx="0">
                  <c:v>61</c:v>
                </c:pt>
                <c:pt idx="1">
                  <c:v>19</c:v>
                </c:pt>
                <c:pt idx="2">
                  <c:v>0.4</c:v>
                </c:pt>
              </c:numCache>
            </c:numRef>
          </c:val>
          <c:extLst>
            <c:ext xmlns:c16="http://schemas.microsoft.com/office/drawing/2014/chart" uri="{C3380CC4-5D6E-409C-BE32-E72D297353CC}">
              <c16:uniqueId val="{00000000-70A9-4680-B738-A8A9D1DF3F6F}"/>
            </c:ext>
          </c:extLst>
        </c:ser>
        <c:ser>
          <c:idx val="1"/>
          <c:order val="1"/>
          <c:tx>
            <c:strRef>
              <c:f>Sheet2!$C$1</c:f>
              <c:strCache>
                <c:ptCount val="1"/>
                <c:pt idx="0">
                  <c:v>South Yorkshire</c:v>
                </c:pt>
              </c:strCache>
            </c:strRef>
          </c:tx>
          <c:spPr>
            <a:solidFill>
              <a:schemeClr val="accent2"/>
            </a:solidFill>
            <a:ln>
              <a:noFill/>
            </a:ln>
            <a:effectLst/>
          </c:spPr>
          <c:invertIfNegative val="0"/>
          <c:cat>
            <c:strRef>
              <c:f>Sheet2!$A$2:$A$4</c:f>
              <c:strCache>
                <c:ptCount val="3"/>
                <c:pt idx="0">
                  <c:v>Investigations closed because the victim does not support police action (%)</c:v>
                </c:pt>
                <c:pt idx="1">
                  <c:v>Cases stopped after a defendant has been charged because a victim no longer supports the prosecution (%)</c:v>
                </c:pt>
                <c:pt idx="2">
                  <c:v>Cases in which the victim or witness no longer supports prosecution on the day of trial (%)</c:v>
                </c:pt>
              </c:strCache>
            </c:strRef>
          </c:cat>
          <c:val>
            <c:numRef>
              <c:f>Sheet2!$C$2:$C$4</c:f>
              <c:numCache>
                <c:formatCode>General</c:formatCode>
                <c:ptCount val="3"/>
                <c:pt idx="0">
                  <c:v>55</c:v>
                </c:pt>
                <c:pt idx="1">
                  <c:v>12</c:v>
                </c:pt>
                <c:pt idx="2">
                  <c:v>2</c:v>
                </c:pt>
              </c:numCache>
            </c:numRef>
          </c:val>
          <c:extLst>
            <c:ext xmlns:c16="http://schemas.microsoft.com/office/drawing/2014/chart" uri="{C3380CC4-5D6E-409C-BE32-E72D297353CC}">
              <c16:uniqueId val="{00000001-70A9-4680-B738-A8A9D1DF3F6F}"/>
            </c:ext>
          </c:extLst>
        </c:ser>
        <c:dLbls>
          <c:showLegendKey val="0"/>
          <c:showVal val="0"/>
          <c:showCatName val="0"/>
          <c:showSerName val="0"/>
          <c:showPercent val="0"/>
          <c:showBubbleSize val="0"/>
        </c:dLbls>
        <c:gapWidth val="182"/>
        <c:axId val="730030960"/>
        <c:axId val="730031680"/>
      </c:barChart>
      <c:catAx>
        <c:axId val="730030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031680"/>
        <c:crosses val="autoZero"/>
        <c:auto val="1"/>
        <c:lblAlgn val="ctr"/>
        <c:lblOffset val="100"/>
        <c:noMultiLvlLbl val="0"/>
      </c:catAx>
      <c:valAx>
        <c:axId val="730031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0309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Improving the</a:t>
            </a:r>
            <a:r>
              <a:rPr lang="en-GB" baseline="0"/>
              <a:t> Q</a:t>
            </a:r>
            <a:r>
              <a:rPr lang="en-GB"/>
              <a:t>uality of Justice: CJS Data Dashboard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Sheet3!$B$1</c:f>
              <c:strCache>
                <c:ptCount val="1"/>
                <c:pt idx="0">
                  <c:v>National </c:v>
                </c:pt>
              </c:strCache>
            </c:strRef>
          </c:tx>
          <c:spPr>
            <a:solidFill>
              <a:schemeClr val="accent1"/>
            </a:solidFill>
            <a:ln>
              <a:noFill/>
            </a:ln>
            <a:effectLst/>
          </c:spPr>
          <c:invertIfNegative val="0"/>
          <c:cat>
            <c:strRef>
              <c:f>Sheet3!$A$2:$A$10</c:f>
              <c:strCache>
                <c:ptCount val="9"/>
                <c:pt idx="0">
                  <c:v>Investigations which result in a charge (% of all investigations closed in the same time period)</c:v>
                </c:pt>
                <c:pt idx="1">
                  <c:v>Investigations which result in a charge in the same time period in which the offence is recorded (%)</c:v>
                </c:pt>
                <c:pt idx="2">
                  <c:v>Investigations closed because no suspect has been identified (%)</c:v>
                </c:pt>
                <c:pt idx="3">
                  <c:v>Legal decisions by the CPS that result in a charge (%)</c:v>
                </c:pt>
                <c:pt idx="4">
                  <c:v>Legal decisions by the CPS where the decision is not to prosecute (%)</c:v>
                </c:pt>
                <c:pt idx="5">
                  <c:v>Legal decisions by the CPS that result in an out of court disposal (%)</c:v>
                </c:pt>
                <c:pt idx="6">
                  <c:v>Cases where the prosecution end cases on the day of trial (%)</c:v>
                </c:pt>
                <c:pt idx="7">
                  <c:v>Cases which are rearranged on the day of trial (%)</c:v>
                </c:pt>
                <c:pt idx="8">
                  <c:v>Cases which resulted in a completed trial or guilty plea (%)</c:v>
                </c:pt>
              </c:strCache>
            </c:strRef>
          </c:cat>
          <c:val>
            <c:numRef>
              <c:f>Sheet3!$B$2:$B$10</c:f>
              <c:numCache>
                <c:formatCode>General</c:formatCode>
                <c:ptCount val="9"/>
                <c:pt idx="0">
                  <c:v>6</c:v>
                </c:pt>
                <c:pt idx="1">
                  <c:v>2.4</c:v>
                </c:pt>
                <c:pt idx="2">
                  <c:v>9</c:v>
                </c:pt>
                <c:pt idx="3">
                  <c:v>71</c:v>
                </c:pt>
                <c:pt idx="4">
                  <c:v>29</c:v>
                </c:pt>
                <c:pt idx="5">
                  <c:v>0.2</c:v>
                </c:pt>
                <c:pt idx="6">
                  <c:v>1.8</c:v>
                </c:pt>
                <c:pt idx="7">
                  <c:v>23</c:v>
                </c:pt>
                <c:pt idx="8">
                  <c:v>87</c:v>
                </c:pt>
              </c:numCache>
            </c:numRef>
          </c:val>
          <c:extLst>
            <c:ext xmlns:c16="http://schemas.microsoft.com/office/drawing/2014/chart" uri="{C3380CC4-5D6E-409C-BE32-E72D297353CC}">
              <c16:uniqueId val="{00000000-BBD5-4567-85D7-48892724C424}"/>
            </c:ext>
          </c:extLst>
        </c:ser>
        <c:ser>
          <c:idx val="1"/>
          <c:order val="1"/>
          <c:tx>
            <c:strRef>
              <c:f>Sheet3!$C$1</c:f>
              <c:strCache>
                <c:ptCount val="1"/>
                <c:pt idx="0">
                  <c:v>South Yorkshire</c:v>
                </c:pt>
              </c:strCache>
            </c:strRef>
          </c:tx>
          <c:spPr>
            <a:solidFill>
              <a:schemeClr val="accent2"/>
            </a:solidFill>
            <a:ln>
              <a:noFill/>
            </a:ln>
            <a:effectLst/>
          </c:spPr>
          <c:invertIfNegative val="0"/>
          <c:cat>
            <c:strRef>
              <c:f>Sheet3!$A$2:$A$10</c:f>
              <c:strCache>
                <c:ptCount val="9"/>
                <c:pt idx="0">
                  <c:v>Investigations which result in a charge (% of all investigations closed in the same time period)</c:v>
                </c:pt>
                <c:pt idx="1">
                  <c:v>Investigations which result in a charge in the same time period in which the offence is recorded (%)</c:v>
                </c:pt>
                <c:pt idx="2">
                  <c:v>Investigations closed because no suspect has been identified (%)</c:v>
                </c:pt>
                <c:pt idx="3">
                  <c:v>Legal decisions by the CPS that result in a charge (%)</c:v>
                </c:pt>
                <c:pt idx="4">
                  <c:v>Legal decisions by the CPS where the decision is not to prosecute (%)</c:v>
                </c:pt>
                <c:pt idx="5">
                  <c:v>Legal decisions by the CPS that result in an out of court disposal (%)</c:v>
                </c:pt>
                <c:pt idx="6">
                  <c:v>Cases where the prosecution end cases on the day of trial (%)</c:v>
                </c:pt>
                <c:pt idx="7">
                  <c:v>Cases which are rearranged on the day of trial (%)</c:v>
                </c:pt>
                <c:pt idx="8">
                  <c:v>Cases which resulted in a completed trial or guilty plea (%)</c:v>
                </c:pt>
              </c:strCache>
            </c:strRef>
          </c:cat>
          <c:val>
            <c:numRef>
              <c:f>Sheet3!$C$2:$C$10</c:f>
              <c:numCache>
                <c:formatCode>General</c:formatCode>
                <c:ptCount val="9"/>
                <c:pt idx="0">
                  <c:v>6</c:v>
                </c:pt>
                <c:pt idx="1">
                  <c:v>2.8</c:v>
                </c:pt>
                <c:pt idx="2">
                  <c:v>11</c:v>
                </c:pt>
                <c:pt idx="3">
                  <c:v>71</c:v>
                </c:pt>
                <c:pt idx="4">
                  <c:v>29</c:v>
                </c:pt>
                <c:pt idx="5">
                  <c:v>0</c:v>
                </c:pt>
                <c:pt idx="6">
                  <c:v>2</c:v>
                </c:pt>
                <c:pt idx="7">
                  <c:v>37</c:v>
                </c:pt>
                <c:pt idx="8">
                  <c:v>94</c:v>
                </c:pt>
              </c:numCache>
            </c:numRef>
          </c:val>
          <c:extLst>
            <c:ext xmlns:c16="http://schemas.microsoft.com/office/drawing/2014/chart" uri="{C3380CC4-5D6E-409C-BE32-E72D297353CC}">
              <c16:uniqueId val="{00000001-BBD5-4567-85D7-48892724C424}"/>
            </c:ext>
          </c:extLst>
        </c:ser>
        <c:dLbls>
          <c:showLegendKey val="0"/>
          <c:showVal val="0"/>
          <c:showCatName val="0"/>
          <c:showSerName val="0"/>
          <c:showPercent val="0"/>
          <c:showBubbleSize val="0"/>
        </c:dLbls>
        <c:gapWidth val="182"/>
        <c:axId val="729300152"/>
        <c:axId val="761146600"/>
      </c:barChart>
      <c:catAx>
        <c:axId val="729300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146600"/>
        <c:crosses val="autoZero"/>
        <c:auto val="1"/>
        <c:lblAlgn val="ctr"/>
        <c:lblOffset val="100"/>
        <c:noMultiLvlLbl val="0"/>
      </c:catAx>
      <c:valAx>
        <c:axId val="761146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3001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Drink and injection spiking recorded in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'Drink Spiking'!$B$7</c:f>
              <c:strCache>
                <c:ptCount val="1"/>
                <c:pt idx="0">
                  <c:v>Drink Spiking</c:v>
                </c:pt>
              </c:strCache>
            </c:strRef>
          </c:tx>
          <c:spPr>
            <a:ln w="28575" cap="rnd">
              <a:solidFill>
                <a:schemeClr val="accent6"/>
              </a:solidFill>
              <a:round/>
            </a:ln>
            <a:effectLst/>
          </c:spPr>
          <c:marker>
            <c:symbol val="none"/>
          </c:marker>
          <c:cat>
            <c:strRef>
              <c:f>'Drink Spiking'!$A$8:$A$19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'Drink Spiking'!$B$8:$B$19</c:f>
              <c:numCache>
                <c:formatCode>General</c:formatCode>
                <c:ptCount val="12"/>
                <c:pt idx="0">
                  <c:v>27</c:v>
                </c:pt>
                <c:pt idx="1">
                  <c:v>32</c:v>
                </c:pt>
                <c:pt idx="2">
                  <c:v>42</c:v>
                </c:pt>
                <c:pt idx="3">
                  <c:v>22</c:v>
                </c:pt>
                <c:pt idx="4">
                  <c:v>18</c:v>
                </c:pt>
                <c:pt idx="5">
                  <c:v>13</c:v>
                </c:pt>
                <c:pt idx="6">
                  <c:v>26</c:v>
                </c:pt>
                <c:pt idx="7">
                  <c:v>34</c:v>
                </c:pt>
                <c:pt idx="8">
                  <c:v>24</c:v>
                </c:pt>
                <c:pt idx="9">
                  <c:v>35</c:v>
                </c:pt>
                <c:pt idx="10">
                  <c:v>20</c:v>
                </c:pt>
                <c:pt idx="11">
                  <c:v>27</c:v>
                </c:pt>
              </c:numCache>
            </c:numRef>
          </c:val>
          <c:smooth val="0"/>
          <c:extLst>
            <c:ext xmlns:c16="http://schemas.microsoft.com/office/drawing/2014/chart" uri="{C3380CC4-5D6E-409C-BE32-E72D297353CC}">
              <c16:uniqueId val="{00000000-5C01-4225-9694-410EA737867B}"/>
            </c:ext>
          </c:extLst>
        </c:ser>
        <c:ser>
          <c:idx val="1"/>
          <c:order val="1"/>
          <c:tx>
            <c:strRef>
              <c:f>'Drink Spiking'!$C$7</c:f>
              <c:strCache>
                <c:ptCount val="1"/>
                <c:pt idx="0">
                  <c:v>Injection Spiking</c:v>
                </c:pt>
              </c:strCache>
            </c:strRef>
          </c:tx>
          <c:spPr>
            <a:ln w="28575" cap="rnd">
              <a:solidFill>
                <a:schemeClr val="accent5"/>
              </a:solidFill>
              <a:round/>
            </a:ln>
            <a:effectLst/>
          </c:spPr>
          <c:marker>
            <c:symbol val="none"/>
          </c:marker>
          <c:cat>
            <c:strRef>
              <c:f>'Drink Spiking'!$A$8:$A$19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'Drink Spiking'!$C$8:$C$19</c:f>
              <c:numCache>
                <c:formatCode>General</c:formatCode>
                <c:ptCount val="12"/>
                <c:pt idx="0">
                  <c:v>16</c:v>
                </c:pt>
                <c:pt idx="1">
                  <c:v>20</c:v>
                </c:pt>
                <c:pt idx="2">
                  <c:v>32</c:v>
                </c:pt>
                <c:pt idx="3">
                  <c:v>19</c:v>
                </c:pt>
                <c:pt idx="4">
                  <c:v>14</c:v>
                </c:pt>
                <c:pt idx="5">
                  <c:v>7</c:v>
                </c:pt>
                <c:pt idx="6">
                  <c:v>19</c:v>
                </c:pt>
                <c:pt idx="7">
                  <c:v>25</c:v>
                </c:pt>
                <c:pt idx="8">
                  <c:v>19</c:v>
                </c:pt>
                <c:pt idx="9">
                  <c:v>22</c:v>
                </c:pt>
                <c:pt idx="10">
                  <c:v>14</c:v>
                </c:pt>
                <c:pt idx="11">
                  <c:v>14</c:v>
                </c:pt>
              </c:numCache>
            </c:numRef>
          </c:val>
          <c:smooth val="0"/>
          <c:extLst>
            <c:ext xmlns:c16="http://schemas.microsoft.com/office/drawing/2014/chart" uri="{C3380CC4-5D6E-409C-BE32-E72D297353CC}">
              <c16:uniqueId val="{00000001-5C01-4225-9694-410EA737867B}"/>
            </c:ext>
          </c:extLst>
        </c:ser>
        <c:dLbls>
          <c:showLegendKey val="0"/>
          <c:showVal val="0"/>
          <c:showCatName val="0"/>
          <c:showSerName val="0"/>
          <c:showPercent val="0"/>
          <c:showBubbleSize val="0"/>
        </c:dLbls>
        <c:smooth val="0"/>
        <c:axId val="691225064"/>
        <c:axId val="691225424"/>
      </c:lineChart>
      <c:catAx>
        <c:axId val="691225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225424"/>
        <c:crosses val="autoZero"/>
        <c:auto val="1"/>
        <c:lblAlgn val="ctr"/>
        <c:lblOffset val="100"/>
        <c:noMultiLvlLbl val="0"/>
      </c:catAx>
      <c:valAx>
        <c:axId val="691225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Distinct Count</a:t>
                </a:r>
                <a:r>
                  <a:rPr lang="en-GB" baseline="0"/>
                  <a:t> </a:t>
                </a:r>
              </a:p>
              <a:p>
                <a:pPr>
                  <a:defRPr/>
                </a:pPr>
                <a:r>
                  <a:rPr lang="en-GB" baseline="0"/>
                  <a:t>of Crime</a:t>
                </a:r>
                <a:endParaRPr lang="en-GB"/>
              </a:p>
            </c:rich>
          </c:tx>
          <c:layout>
            <c:manualLayout>
              <c:xMode val="edge"/>
              <c:yMode val="edge"/>
              <c:x val="0.14616148215302621"/>
              <c:y val="0.222692818834603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225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9108D3-5626-4873-91DE-5AC55DFAAE21}"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GB"/>
        </a:p>
      </dgm:t>
    </dgm:pt>
    <dgm:pt modelId="{02FFE1D4-DBB2-4B71-9F34-194969732E70}">
      <dgm:prSet phldrT="[Text]"/>
      <dgm:spPr/>
      <dgm:t>
        <a:bodyPr/>
        <a:lstStyle/>
        <a:p>
          <a:r>
            <a:rPr lang="en-GB" b="1"/>
            <a:t>Cases referred by the police to the CPS for either early advice or a charging decision</a:t>
          </a:r>
        </a:p>
      </dgm:t>
    </dgm:pt>
    <dgm:pt modelId="{06B6D160-007F-479A-9D7B-B6C9E40F6E09}" type="parTrans" cxnId="{BE146273-0709-4836-B865-5E7100F8B1A3}">
      <dgm:prSet/>
      <dgm:spPr/>
      <dgm:t>
        <a:bodyPr/>
        <a:lstStyle/>
        <a:p>
          <a:endParaRPr lang="en-GB"/>
        </a:p>
      </dgm:t>
    </dgm:pt>
    <dgm:pt modelId="{080284A1-D262-4FF3-AC16-8BA9B9C43A4A}" type="sibTrans" cxnId="{BE146273-0709-4836-B865-5E7100F8B1A3}">
      <dgm:prSet/>
      <dgm:spPr/>
      <dgm:t>
        <a:bodyPr/>
        <a:lstStyle/>
        <a:p>
          <a:endParaRPr lang="en-GB"/>
        </a:p>
      </dgm:t>
    </dgm:pt>
    <dgm:pt modelId="{59130F5D-AA20-4A51-A984-EAAC03DC1144}">
      <dgm:prSet phldrT="[Text]"/>
      <dgm:spPr/>
      <dgm:t>
        <a:bodyPr/>
        <a:lstStyle/>
        <a:p>
          <a:r>
            <a:rPr lang="en-GB" b="0" i="0"/>
            <a:t>5,651 cases</a:t>
          </a:r>
          <a:endParaRPr lang="en-GB"/>
        </a:p>
      </dgm:t>
    </dgm:pt>
    <dgm:pt modelId="{D1E9247F-31B1-46FE-86CF-ED27D241C7C3}" type="parTrans" cxnId="{68DD183D-E1ED-4F09-9143-EF99D9E40247}">
      <dgm:prSet/>
      <dgm:spPr/>
      <dgm:t>
        <a:bodyPr/>
        <a:lstStyle/>
        <a:p>
          <a:endParaRPr lang="en-GB"/>
        </a:p>
      </dgm:t>
    </dgm:pt>
    <dgm:pt modelId="{C80FC41A-DE6F-448E-B20E-9B2AA3376F60}" type="sibTrans" cxnId="{68DD183D-E1ED-4F09-9143-EF99D9E40247}">
      <dgm:prSet/>
      <dgm:spPr/>
      <dgm:t>
        <a:bodyPr/>
        <a:lstStyle/>
        <a:p>
          <a:endParaRPr lang="en-GB"/>
        </a:p>
      </dgm:t>
    </dgm:pt>
    <dgm:pt modelId="{1247CFA2-19F0-4BAA-A8DC-E460AE718F12}">
      <dgm:prSet phldrT="[Text]"/>
      <dgm:spPr/>
      <dgm:t>
        <a:bodyPr/>
        <a:lstStyle/>
        <a:p>
          <a:pPr>
            <a:buFont typeface="Symbol" panose="05050102010706020507" pitchFamily="18" charset="2"/>
            <a:buChar char=""/>
          </a:pPr>
          <a:r>
            <a:rPr lang="en-GB" b="1"/>
            <a:t>Number of suspects authorised to be charged by the CPS</a:t>
          </a:r>
        </a:p>
      </dgm:t>
    </dgm:pt>
    <dgm:pt modelId="{79BF71D5-3EC1-4ECB-92FB-F9AE20CA4D11}" type="parTrans" cxnId="{0F444D38-7DF0-40C4-AE89-719498B6DD7A}">
      <dgm:prSet/>
      <dgm:spPr/>
      <dgm:t>
        <a:bodyPr/>
        <a:lstStyle/>
        <a:p>
          <a:endParaRPr lang="en-GB"/>
        </a:p>
      </dgm:t>
    </dgm:pt>
    <dgm:pt modelId="{1565AE53-D215-48E4-B4E2-2EC961D20622}" type="sibTrans" cxnId="{0F444D38-7DF0-40C4-AE89-719498B6DD7A}">
      <dgm:prSet/>
      <dgm:spPr/>
      <dgm:t>
        <a:bodyPr/>
        <a:lstStyle/>
        <a:p>
          <a:endParaRPr lang="en-GB"/>
        </a:p>
      </dgm:t>
    </dgm:pt>
    <dgm:pt modelId="{698B3527-663A-4197-84EA-CEE5B570C085}">
      <dgm:prSet phldrT="[Text]"/>
      <dgm:spPr/>
      <dgm:t>
        <a:bodyPr/>
        <a:lstStyle/>
        <a:p>
          <a:r>
            <a:rPr lang="en-GB" b="0" i="0"/>
            <a:t>2,473</a:t>
          </a:r>
          <a:r>
            <a:rPr lang="en-GB"/>
            <a:t> cases</a:t>
          </a:r>
        </a:p>
      </dgm:t>
    </dgm:pt>
    <dgm:pt modelId="{BEE98C20-93BC-4C48-AC93-26EEE8E44646}" type="parTrans" cxnId="{2F1459C1-927D-43CB-9885-97B176C5CA71}">
      <dgm:prSet/>
      <dgm:spPr/>
      <dgm:t>
        <a:bodyPr/>
        <a:lstStyle/>
        <a:p>
          <a:endParaRPr lang="en-GB"/>
        </a:p>
      </dgm:t>
    </dgm:pt>
    <dgm:pt modelId="{FAA7CD99-562F-4072-AAEA-3A83E2822E64}" type="sibTrans" cxnId="{2F1459C1-927D-43CB-9885-97B176C5CA71}">
      <dgm:prSet/>
      <dgm:spPr/>
      <dgm:t>
        <a:bodyPr/>
        <a:lstStyle/>
        <a:p>
          <a:endParaRPr lang="en-GB"/>
        </a:p>
      </dgm:t>
    </dgm:pt>
    <dgm:pt modelId="{D1678D2B-9E4B-48A9-9032-898A9B514101}">
      <dgm:prSet phldrT="[Text]"/>
      <dgm:spPr/>
      <dgm:t>
        <a:bodyPr/>
        <a:lstStyle/>
        <a:p>
          <a:r>
            <a:rPr lang="en-GB" b="1"/>
            <a:t>Receipts at Crown Court</a:t>
          </a:r>
        </a:p>
      </dgm:t>
    </dgm:pt>
    <dgm:pt modelId="{6CCD72A6-388D-4938-B61B-580AEFFAA306}" type="parTrans" cxnId="{A256021D-9135-4A8E-B382-8E695EABD505}">
      <dgm:prSet/>
      <dgm:spPr/>
      <dgm:t>
        <a:bodyPr/>
        <a:lstStyle/>
        <a:p>
          <a:endParaRPr lang="en-GB"/>
        </a:p>
      </dgm:t>
    </dgm:pt>
    <dgm:pt modelId="{5B07394B-AB76-4C66-BF5E-49496225FDAF}" type="sibTrans" cxnId="{A256021D-9135-4A8E-B382-8E695EABD505}">
      <dgm:prSet/>
      <dgm:spPr/>
      <dgm:t>
        <a:bodyPr/>
        <a:lstStyle/>
        <a:p>
          <a:endParaRPr lang="en-GB"/>
        </a:p>
      </dgm:t>
    </dgm:pt>
    <dgm:pt modelId="{0970E001-7567-43C4-8CFB-56BC2A92BA50}">
      <dgm:prSet phldrT="[Text]"/>
      <dgm:spPr/>
      <dgm:t>
        <a:bodyPr/>
        <a:lstStyle/>
        <a:p>
          <a:r>
            <a:rPr lang="en-GB" b="0" i="0"/>
            <a:t>2,566</a:t>
          </a:r>
          <a:r>
            <a:rPr lang="en-GB"/>
            <a:t> cases</a:t>
          </a:r>
        </a:p>
      </dgm:t>
    </dgm:pt>
    <dgm:pt modelId="{1B084770-2B35-413B-BB2C-549BC018FACB}" type="parTrans" cxnId="{F68F189A-DD43-4393-A284-ECD1AEBA50EF}">
      <dgm:prSet/>
      <dgm:spPr/>
      <dgm:t>
        <a:bodyPr/>
        <a:lstStyle/>
        <a:p>
          <a:endParaRPr lang="en-GB"/>
        </a:p>
      </dgm:t>
    </dgm:pt>
    <dgm:pt modelId="{52611833-7344-4962-9AE9-CC13E62817E1}" type="sibTrans" cxnId="{F68F189A-DD43-4393-A284-ECD1AEBA50EF}">
      <dgm:prSet/>
      <dgm:spPr/>
      <dgm:t>
        <a:bodyPr/>
        <a:lstStyle/>
        <a:p>
          <a:endParaRPr lang="en-GB"/>
        </a:p>
      </dgm:t>
    </dgm:pt>
    <dgm:pt modelId="{DA966FAF-4515-474F-851A-E1AD8F400560}" type="pres">
      <dgm:prSet presAssocID="{C29108D3-5626-4873-91DE-5AC55DFAAE21}" presName="Name0" presStyleCnt="0">
        <dgm:presLayoutVars>
          <dgm:chMax val="5"/>
          <dgm:chPref val="5"/>
          <dgm:dir/>
          <dgm:animLvl val="lvl"/>
        </dgm:presLayoutVars>
      </dgm:prSet>
      <dgm:spPr/>
    </dgm:pt>
    <dgm:pt modelId="{56F00840-3EBC-49A1-987D-BFE0DB4CE5B8}" type="pres">
      <dgm:prSet presAssocID="{02FFE1D4-DBB2-4B71-9F34-194969732E70}" presName="parentText1" presStyleLbl="node1" presStyleIdx="0" presStyleCnt="3">
        <dgm:presLayoutVars>
          <dgm:chMax/>
          <dgm:chPref val="3"/>
          <dgm:bulletEnabled val="1"/>
        </dgm:presLayoutVars>
      </dgm:prSet>
      <dgm:spPr/>
    </dgm:pt>
    <dgm:pt modelId="{51C7E22A-33E8-4214-BF05-530CE784F8DA}" type="pres">
      <dgm:prSet presAssocID="{02FFE1D4-DBB2-4B71-9F34-194969732E70}" presName="childText1" presStyleLbl="solidAlignAcc1" presStyleIdx="0" presStyleCnt="3" custScaleY="61198" custLinFactNeighborX="819" custLinFactNeighborY="-20669">
        <dgm:presLayoutVars>
          <dgm:chMax val="0"/>
          <dgm:chPref val="0"/>
          <dgm:bulletEnabled val="1"/>
        </dgm:presLayoutVars>
      </dgm:prSet>
      <dgm:spPr/>
    </dgm:pt>
    <dgm:pt modelId="{60E45F84-CBBB-4C1C-B3DE-028980BD7FBA}" type="pres">
      <dgm:prSet presAssocID="{1247CFA2-19F0-4BAA-A8DC-E460AE718F12}" presName="parentText2" presStyleLbl="node1" presStyleIdx="1" presStyleCnt="3">
        <dgm:presLayoutVars>
          <dgm:chMax/>
          <dgm:chPref val="3"/>
          <dgm:bulletEnabled val="1"/>
        </dgm:presLayoutVars>
      </dgm:prSet>
      <dgm:spPr/>
    </dgm:pt>
    <dgm:pt modelId="{2ECF7D48-8DC9-497F-9D84-2CB0D0AC2B29}" type="pres">
      <dgm:prSet presAssocID="{1247CFA2-19F0-4BAA-A8DC-E460AE718F12}" presName="childText2" presStyleLbl="solidAlignAcc1" presStyleIdx="1" presStyleCnt="3" custScaleY="65240" custLinFactNeighborX="409" custLinFactNeighborY="-18871">
        <dgm:presLayoutVars>
          <dgm:chMax val="0"/>
          <dgm:chPref val="0"/>
          <dgm:bulletEnabled val="1"/>
        </dgm:presLayoutVars>
      </dgm:prSet>
      <dgm:spPr/>
    </dgm:pt>
    <dgm:pt modelId="{75C1108E-ABAD-4B65-92F9-CAB8148F03D4}" type="pres">
      <dgm:prSet presAssocID="{D1678D2B-9E4B-48A9-9032-898A9B514101}" presName="parentText3" presStyleLbl="node1" presStyleIdx="2" presStyleCnt="3">
        <dgm:presLayoutVars>
          <dgm:chMax/>
          <dgm:chPref val="3"/>
          <dgm:bulletEnabled val="1"/>
        </dgm:presLayoutVars>
      </dgm:prSet>
      <dgm:spPr/>
    </dgm:pt>
    <dgm:pt modelId="{E2674600-DC23-44DA-A4BC-3F2090668172}" type="pres">
      <dgm:prSet presAssocID="{D1678D2B-9E4B-48A9-9032-898A9B514101}" presName="childText3" presStyleLbl="solidAlignAcc1" presStyleIdx="2" presStyleCnt="3" custScaleY="70307" custLinFactNeighborX="409" custLinFactNeighborY="-22344">
        <dgm:presLayoutVars>
          <dgm:chMax val="0"/>
          <dgm:chPref val="0"/>
          <dgm:bulletEnabled val="1"/>
        </dgm:presLayoutVars>
      </dgm:prSet>
      <dgm:spPr/>
    </dgm:pt>
  </dgm:ptLst>
  <dgm:cxnLst>
    <dgm:cxn modelId="{8FB14C0B-C6D3-4324-8740-BFD9FD4B6A74}" type="presOf" srcId="{D1678D2B-9E4B-48A9-9032-898A9B514101}" destId="{75C1108E-ABAD-4B65-92F9-CAB8148F03D4}" srcOrd="0" destOrd="0" presId="urn:microsoft.com/office/officeart/2009/3/layout/IncreasingArrowsProcess"/>
    <dgm:cxn modelId="{0B61A60D-8BA4-40D0-B315-C3DABD156260}" type="presOf" srcId="{59130F5D-AA20-4A51-A984-EAAC03DC1144}" destId="{51C7E22A-33E8-4214-BF05-530CE784F8DA}" srcOrd="0" destOrd="0" presId="urn:microsoft.com/office/officeart/2009/3/layout/IncreasingArrowsProcess"/>
    <dgm:cxn modelId="{3F0C1513-5843-4670-939A-67427D6E588F}" type="presOf" srcId="{02FFE1D4-DBB2-4B71-9F34-194969732E70}" destId="{56F00840-3EBC-49A1-987D-BFE0DB4CE5B8}" srcOrd="0" destOrd="0" presId="urn:microsoft.com/office/officeart/2009/3/layout/IncreasingArrowsProcess"/>
    <dgm:cxn modelId="{A256021D-9135-4A8E-B382-8E695EABD505}" srcId="{C29108D3-5626-4873-91DE-5AC55DFAAE21}" destId="{D1678D2B-9E4B-48A9-9032-898A9B514101}" srcOrd="2" destOrd="0" parTransId="{6CCD72A6-388D-4938-B61B-580AEFFAA306}" sibTransId="{5B07394B-AB76-4C66-BF5E-49496225FDAF}"/>
    <dgm:cxn modelId="{93A10B30-AEA2-476B-9B3E-4C94DA1134E9}" type="presOf" srcId="{C29108D3-5626-4873-91DE-5AC55DFAAE21}" destId="{DA966FAF-4515-474F-851A-E1AD8F400560}" srcOrd="0" destOrd="0" presId="urn:microsoft.com/office/officeart/2009/3/layout/IncreasingArrowsProcess"/>
    <dgm:cxn modelId="{0F444D38-7DF0-40C4-AE89-719498B6DD7A}" srcId="{C29108D3-5626-4873-91DE-5AC55DFAAE21}" destId="{1247CFA2-19F0-4BAA-A8DC-E460AE718F12}" srcOrd="1" destOrd="0" parTransId="{79BF71D5-3EC1-4ECB-92FB-F9AE20CA4D11}" sibTransId="{1565AE53-D215-48E4-B4E2-2EC961D20622}"/>
    <dgm:cxn modelId="{68DD183D-E1ED-4F09-9143-EF99D9E40247}" srcId="{02FFE1D4-DBB2-4B71-9F34-194969732E70}" destId="{59130F5D-AA20-4A51-A984-EAAC03DC1144}" srcOrd="0" destOrd="0" parTransId="{D1E9247F-31B1-46FE-86CF-ED27D241C7C3}" sibTransId="{C80FC41A-DE6F-448E-B20E-9B2AA3376F60}"/>
    <dgm:cxn modelId="{F03A6165-E452-4F0E-B846-D90E04EB12D5}" type="presOf" srcId="{698B3527-663A-4197-84EA-CEE5B570C085}" destId="{2ECF7D48-8DC9-497F-9D84-2CB0D0AC2B29}" srcOrd="0" destOrd="0" presId="urn:microsoft.com/office/officeart/2009/3/layout/IncreasingArrowsProcess"/>
    <dgm:cxn modelId="{91149F65-B775-4E2F-A08F-362245033FFB}" type="presOf" srcId="{1247CFA2-19F0-4BAA-A8DC-E460AE718F12}" destId="{60E45F84-CBBB-4C1C-B3DE-028980BD7FBA}" srcOrd="0" destOrd="0" presId="urn:microsoft.com/office/officeart/2009/3/layout/IncreasingArrowsProcess"/>
    <dgm:cxn modelId="{BE146273-0709-4836-B865-5E7100F8B1A3}" srcId="{C29108D3-5626-4873-91DE-5AC55DFAAE21}" destId="{02FFE1D4-DBB2-4B71-9F34-194969732E70}" srcOrd="0" destOrd="0" parTransId="{06B6D160-007F-479A-9D7B-B6C9E40F6E09}" sibTransId="{080284A1-D262-4FF3-AC16-8BA9B9C43A4A}"/>
    <dgm:cxn modelId="{F68F189A-DD43-4393-A284-ECD1AEBA50EF}" srcId="{D1678D2B-9E4B-48A9-9032-898A9B514101}" destId="{0970E001-7567-43C4-8CFB-56BC2A92BA50}" srcOrd="0" destOrd="0" parTransId="{1B084770-2B35-413B-BB2C-549BC018FACB}" sibTransId="{52611833-7344-4962-9AE9-CC13E62817E1}"/>
    <dgm:cxn modelId="{030E35C1-7CE9-463D-9FD0-99C7482DE820}" type="presOf" srcId="{0970E001-7567-43C4-8CFB-56BC2A92BA50}" destId="{E2674600-DC23-44DA-A4BC-3F2090668172}" srcOrd="0" destOrd="0" presId="urn:microsoft.com/office/officeart/2009/3/layout/IncreasingArrowsProcess"/>
    <dgm:cxn modelId="{2F1459C1-927D-43CB-9885-97B176C5CA71}" srcId="{1247CFA2-19F0-4BAA-A8DC-E460AE718F12}" destId="{698B3527-663A-4197-84EA-CEE5B570C085}" srcOrd="0" destOrd="0" parTransId="{BEE98C20-93BC-4C48-AC93-26EEE8E44646}" sibTransId="{FAA7CD99-562F-4072-AAEA-3A83E2822E64}"/>
    <dgm:cxn modelId="{E930666C-6B94-4A72-A53F-974FC72CA40C}" type="presParOf" srcId="{DA966FAF-4515-474F-851A-E1AD8F400560}" destId="{56F00840-3EBC-49A1-987D-BFE0DB4CE5B8}" srcOrd="0" destOrd="0" presId="urn:microsoft.com/office/officeart/2009/3/layout/IncreasingArrowsProcess"/>
    <dgm:cxn modelId="{AA33622F-7199-4E95-A203-2946923FAD8E}" type="presParOf" srcId="{DA966FAF-4515-474F-851A-E1AD8F400560}" destId="{51C7E22A-33E8-4214-BF05-530CE784F8DA}" srcOrd="1" destOrd="0" presId="urn:microsoft.com/office/officeart/2009/3/layout/IncreasingArrowsProcess"/>
    <dgm:cxn modelId="{F5EB914D-3630-491F-9FB4-CFB13BD7D4BF}" type="presParOf" srcId="{DA966FAF-4515-474F-851A-E1AD8F400560}" destId="{60E45F84-CBBB-4C1C-B3DE-028980BD7FBA}" srcOrd="2" destOrd="0" presId="urn:microsoft.com/office/officeart/2009/3/layout/IncreasingArrowsProcess"/>
    <dgm:cxn modelId="{C6D297A2-87C3-4F90-A065-1F0099FEF9A6}" type="presParOf" srcId="{DA966FAF-4515-474F-851A-E1AD8F400560}" destId="{2ECF7D48-8DC9-497F-9D84-2CB0D0AC2B29}" srcOrd="3" destOrd="0" presId="urn:microsoft.com/office/officeart/2009/3/layout/IncreasingArrowsProcess"/>
    <dgm:cxn modelId="{FA3BBFE1-65BC-4090-8849-2B6F8C326309}" type="presParOf" srcId="{DA966FAF-4515-474F-851A-E1AD8F400560}" destId="{75C1108E-ABAD-4B65-92F9-CAB8148F03D4}" srcOrd="4" destOrd="0" presId="urn:microsoft.com/office/officeart/2009/3/layout/IncreasingArrowsProcess"/>
    <dgm:cxn modelId="{28949F78-5EB6-4A62-921A-E20A97B0716B}" type="presParOf" srcId="{DA966FAF-4515-474F-851A-E1AD8F400560}" destId="{E2674600-DC23-44DA-A4BC-3F2090668172}" srcOrd="5" destOrd="0" presId="urn:microsoft.com/office/officeart/2009/3/layout/IncreasingArrows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9108D3-5626-4873-91DE-5AC55DFAAE21}"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GB"/>
        </a:p>
      </dgm:t>
    </dgm:pt>
    <dgm:pt modelId="{02FFE1D4-DBB2-4B71-9F34-194969732E70}">
      <dgm:prSet phldrT="[Text]"/>
      <dgm:spPr/>
      <dgm:t>
        <a:bodyPr/>
        <a:lstStyle/>
        <a:p>
          <a:r>
            <a:rPr lang="en-GB" b="1"/>
            <a:t>Cases referred by the police to the CPS for either early advice or a charging decision</a:t>
          </a:r>
        </a:p>
      </dgm:t>
    </dgm:pt>
    <dgm:pt modelId="{06B6D160-007F-479A-9D7B-B6C9E40F6E09}" type="parTrans" cxnId="{BE146273-0709-4836-B865-5E7100F8B1A3}">
      <dgm:prSet/>
      <dgm:spPr/>
      <dgm:t>
        <a:bodyPr/>
        <a:lstStyle/>
        <a:p>
          <a:endParaRPr lang="en-GB"/>
        </a:p>
      </dgm:t>
    </dgm:pt>
    <dgm:pt modelId="{080284A1-D262-4FF3-AC16-8BA9B9C43A4A}" type="sibTrans" cxnId="{BE146273-0709-4836-B865-5E7100F8B1A3}">
      <dgm:prSet/>
      <dgm:spPr/>
      <dgm:t>
        <a:bodyPr/>
        <a:lstStyle/>
        <a:p>
          <a:endParaRPr lang="en-GB"/>
        </a:p>
      </dgm:t>
    </dgm:pt>
    <dgm:pt modelId="{59130F5D-AA20-4A51-A984-EAAC03DC1144}">
      <dgm:prSet phldrT="[Text]"/>
      <dgm:spPr/>
      <dgm:t>
        <a:bodyPr/>
        <a:lstStyle/>
        <a:p>
          <a:r>
            <a:rPr lang="en-GB"/>
            <a:t>99 cases</a:t>
          </a:r>
        </a:p>
      </dgm:t>
    </dgm:pt>
    <dgm:pt modelId="{D1E9247F-31B1-46FE-86CF-ED27D241C7C3}" type="parTrans" cxnId="{68DD183D-E1ED-4F09-9143-EF99D9E40247}">
      <dgm:prSet/>
      <dgm:spPr/>
      <dgm:t>
        <a:bodyPr/>
        <a:lstStyle/>
        <a:p>
          <a:endParaRPr lang="en-GB"/>
        </a:p>
      </dgm:t>
    </dgm:pt>
    <dgm:pt modelId="{C80FC41A-DE6F-448E-B20E-9B2AA3376F60}" type="sibTrans" cxnId="{68DD183D-E1ED-4F09-9143-EF99D9E40247}">
      <dgm:prSet/>
      <dgm:spPr/>
      <dgm:t>
        <a:bodyPr/>
        <a:lstStyle/>
        <a:p>
          <a:endParaRPr lang="en-GB"/>
        </a:p>
      </dgm:t>
    </dgm:pt>
    <dgm:pt modelId="{1247CFA2-19F0-4BAA-A8DC-E460AE718F12}">
      <dgm:prSet phldrT="[Text]"/>
      <dgm:spPr/>
      <dgm:t>
        <a:bodyPr/>
        <a:lstStyle/>
        <a:p>
          <a:pPr>
            <a:buFont typeface="Symbol" panose="05050102010706020507" pitchFamily="18" charset="2"/>
            <a:buChar char=""/>
          </a:pPr>
          <a:r>
            <a:rPr lang="en-GB" b="1"/>
            <a:t>Number of suspects authorised to be charged by the CPS</a:t>
          </a:r>
        </a:p>
      </dgm:t>
    </dgm:pt>
    <dgm:pt modelId="{79BF71D5-3EC1-4ECB-92FB-F9AE20CA4D11}" type="parTrans" cxnId="{0F444D38-7DF0-40C4-AE89-719498B6DD7A}">
      <dgm:prSet/>
      <dgm:spPr/>
      <dgm:t>
        <a:bodyPr/>
        <a:lstStyle/>
        <a:p>
          <a:endParaRPr lang="en-GB"/>
        </a:p>
      </dgm:t>
    </dgm:pt>
    <dgm:pt modelId="{1565AE53-D215-48E4-B4E2-2EC961D20622}" type="sibTrans" cxnId="{0F444D38-7DF0-40C4-AE89-719498B6DD7A}">
      <dgm:prSet/>
      <dgm:spPr/>
      <dgm:t>
        <a:bodyPr/>
        <a:lstStyle/>
        <a:p>
          <a:endParaRPr lang="en-GB"/>
        </a:p>
      </dgm:t>
    </dgm:pt>
    <dgm:pt modelId="{698B3527-663A-4197-84EA-CEE5B570C085}">
      <dgm:prSet phldrT="[Text]"/>
      <dgm:spPr/>
      <dgm:t>
        <a:bodyPr/>
        <a:lstStyle/>
        <a:p>
          <a:r>
            <a:rPr lang="en-GB"/>
            <a:t>60 cases</a:t>
          </a:r>
        </a:p>
      </dgm:t>
    </dgm:pt>
    <dgm:pt modelId="{BEE98C20-93BC-4C48-AC93-26EEE8E44646}" type="parTrans" cxnId="{2F1459C1-927D-43CB-9885-97B176C5CA71}">
      <dgm:prSet/>
      <dgm:spPr/>
      <dgm:t>
        <a:bodyPr/>
        <a:lstStyle/>
        <a:p>
          <a:endParaRPr lang="en-GB"/>
        </a:p>
      </dgm:t>
    </dgm:pt>
    <dgm:pt modelId="{FAA7CD99-562F-4072-AAEA-3A83E2822E64}" type="sibTrans" cxnId="{2F1459C1-927D-43CB-9885-97B176C5CA71}">
      <dgm:prSet/>
      <dgm:spPr/>
      <dgm:t>
        <a:bodyPr/>
        <a:lstStyle/>
        <a:p>
          <a:endParaRPr lang="en-GB"/>
        </a:p>
      </dgm:t>
    </dgm:pt>
    <dgm:pt modelId="{D1678D2B-9E4B-48A9-9032-898A9B514101}">
      <dgm:prSet phldrT="[Text]"/>
      <dgm:spPr/>
      <dgm:t>
        <a:bodyPr/>
        <a:lstStyle/>
        <a:p>
          <a:r>
            <a:rPr lang="en-GB" b="1"/>
            <a:t>Receipts at Crown Court</a:t>
          </a:r>
        </a:p>
      </dgm:t>
    </dgm:pt>
    <dgm:pt modelId="{6CCD72A6-388D-4938-B61B-580AEFFAA306}" type="parTrans" cxnId="{A256021D-9135-4A8E-B382-8E695EABD505}">
      <dgm:prSet/>
      <dgm:spPr/>
      <dgm:t>
        <a:bodyPr/>
        <a:lstStyle/>
        <a:p>
          <a:endParaRPr lang="en-GB"/>
        </a:p>
      </dgm:t>
    </dgm:pt>
    <dgm:pt modelId="{5B07394B-AB76-4C66-BF5E-49496225FDAF}" type="sibTrans" cxnId="{A256021D-9135-4A8E-B382-8E695EABD505}">
      <dgm:prSet/>
      <dgm:spPr/>
      <dgm:t>
        <a:bodyPr/>
        <a:lstStyle/>
        <a:p>
          <a:endParaRPr lang="en-GB"/>
        </a:p>
      </dgm:t>
    </dgm:pt>
    <dgm:pt modelId="{0970E001-7567-43C4-8CFB-56BC2A92BA50}">
      <dgm:prSet phldrT="[Text]"/>
      <dgm:spPr/>
      <dgm:t>
        <a:bodyPr/>
        <a:lstStyle/>
        <a:p>
          <a:r>
            <a:rPr lang="en-GB"/>
            <a:t>71 cases</a:t>
          </a:r>
        </a:p>
      </dgm:t>
    </dgm:pt>
    <dgm:pt modelId="{1B084770-2B35-413B-BB2C-549BC018FACB}" type="parTrans" cxnId="{F68F189A-DD43-4393-A284-ECD1AEBA50EF}">
      <dgm:prSet/>
      <dgm:spPr/>
      <dgm:t>
        <a:bodyPr/>
        <a:lstStyle/>
        <a:p>
          <a:endParaRPr lang="en-GB"/>
        </a:p>
      </dgm:t>
    </dgm:pt>
    <dgm:pt modelId="{52611833-7344-4962-9AE9-CC13E62817E1}" type="sibTrans" cxnId="{F68F189A-DD43-4393-A284-ECD1AEBA50EF}">
      <dgm:prSet/>
      <dgm:spPr/>
      <dgm:t>
        <a:bodyPr/>
        <a:lstStyle/>
        <a:p>
          <a:endParaRPr lang="en-GB"/>
        </a:p>
      </dgm:t>
    </dgm:pt>
    <dgm:pt modelId="{DA966FAF-4515-474F-851A-E1AD8F400560}" type="pres">
      <dgm:prSet presAssocID="{C29108D3-5626-4873-91DE-5AC55DFAAE21}" presName="Name0" presStyleCnt="0">
        <dgm:presLayoutVars>
          <dgm:chMax val="5"/>
          <dgm:chPref val="5"/>
          <dgm:dir/>
          <dgm:animLvl val="lvl"/>
        </dgm:presLayoutVars>
      </dgm:prSet>
      <dgm:spPr/>
    </dgm:pt>
    <dgm:pt modelId="{56F00840-3EBC-49A1-987D-BFE0DB4CE5B8}" type="pres">
      <dgm:prSet presAssocID="{02FFE1D4-DBB2-4B71-9F34-194969732E70}" presName="parentText1" presStyleLbl="node1" presStyleIdx="0" presStyleCnt="3">
        <dgm:presLayoutVars>
          <dgm:chMax/>
          <dgm:chPref val="3"/>
          <dgm:bulletEnabled val="1"/>
        </dgm:presLayoutVars>
      </dgm:prSet>
      <dgm:spPr/>
    </dgm:pt>
    <dgm:pt modelId="{51C7E22A-33E8-4214-BF05-530CE784F8DA}" type="pres">
      <dgm:prSet presAssocID="{02FFE1D4-DBB2-4B71-9F34-194969732E70}" presName="childText1" presStyleLbl="solidAlignAcc1" presStyleIdx="0" presStyleCnt="3" custScaleY="61198" custLinFactNeighborX="819" custLinFactNeighborY="-20669">
        <dgm:presLayoutVars>
          <dgm:chMax val="0"/>
          <dgm:chPref val="0"/>
          <dgm:bulletEnabled val="1"/>
        </dgm:presLayoutVars>
      </dgm:prSet>
      <dgm:spPr/>
    </dgm:pt>
    <dgm:pt modelId="{60E45F84-CBBB-4C1C-B3DE-028980BD7FBA}" type="pres">
      <dgm:prSet presAssocID="{1247CFA2-19F0-4BAA-A8DC-E460AE718F12}" presName="parentText2" presStyleLbl="node1" presStyleIdx="1" presStyleCnt="3">
        <dgm:presLayoutVars>
          <dgm:chMax/>
          <dgm:chPref val="3"/>
          <dgm:bulletEnabled val="1"/>
        </dgm:presLayoutVars>
      </dgm:prSet>
      <dgm:spPr/>
    </dgm:pt>
    <dgm:pt modelId="{2ECF7D48-8DC9-497F-9D84-2CB0D0AC2B29}" type="pres">
      <dgm:prSet presAssocID="{1247CFA2-19F0-4BAA-A8DC-E460AE718F12}" presName="childText2" presStyleLbl="solidAlignAcc1" presStyleIdx="1" presStyleCnt="3" custScaleY="65240" custLinFactNeighborX="409" custLinFactNeighborY="-18871">
        <dgm:presLayoutVars>
          <dgm:chMax val="0"/>
          <dgm:chPref val="0"/>
          <dgm:bulletEnabled val="1"/>
        </dgm:presLayoutVars>
      </dgm:prSet>
      <dgm:spPr/>
    </dgm:pt>
    <dgm:pt modelId="{75C1108E-ABAD-4B65-92F9-CAB8148F03D4}" type="pres">
      <dgm:prSet presAssocID="{D1678D2B-9E4B-48A9-9032-898A9B514101}" presName="parentText3" presStyleLbl="node1" presStyleIdx="2" presStyleCnt="3">
        <dgm:presLayoutVars>
          <dgm:chMax/>
          <dgm:chPref val="3"/>
          <dgm:bulletEnabled val="1"/>
        </dgm:presLayoutVars>
      </dgm:prSet>
      <dgm:spPr/>
    </dgm:pt>
    <dgm:pt modelId="{E2674600-DC23-44DA-A4BC-3F2090668172}" type="pres">
      <dgm:prSet presAssocID="{D1678D2B-9E4B-48A9-9032-898A9B514101}" presName="childText3" presStyleLbl="solidAlignAcc1" presStyleIdx="2" presStyleCnt="3" custScaleY="70307" custLinFactNeighborX="409" custLinFactNeighborY="-22344">
        <dgm:presLayoutVars>
          <dgm:chMax val="0"/>
          <dgm:chPref val="0"/>
          <dgm:bulletEnabled val="1"/>
        </dgm:presLayoutVars>
      </dgm:prSet>
      <dgm:spPr/>
    </dgm:pt>
  </dgm:ptLst>
  <dgm:cxnLst>
    <dgm:cxn modelId="{8FB14C0B-C6D3-4324-8740-BFD9FD4B6A74}" type="presOf" srcId="{D1678D2B-9E4B-48A9-9032-898A9B514101}" destId="{75C1108E-ABAD-4B65-92F9-CAB8148F03D4}" srcOrd="0" destOrd="0" presId="urn:microsoft.com/office/officeart/2009/3/layout/IncreasingArrowsProcess"/>
    <dgm:cxn modelId="{0B61A60D-8BA4-40D0-B315-C3DABD156260}" type="presOf" srcId="{59130F5D-AA20-4A51-A984-EAAC03DC1144}" destId="{51C7E22A-33E8-4214-BF05-530CE784F8DA}" srcOrd="0" destOrd="0" presId="urn:microsoft.com/office/officeart/2009/3/layout/IncreasingArrowsProcess"/>
    <dgm:cxn modelId="{3F0C1513-5843-4670-939A-67427D6E588F}" type="presOf" srcId="{02FFE1D4-DBB2-4B71-9F34-194969732E70}" destId="{56F00840-3EBC-49A1-987D-BFE0DB4CE5B8}" srcOrd="0" destOrd="0" presId="urn:microsoft.com/office/officeart/2009/3/layout/IncreasingArrowsProcess"/>
    <dgm:cxn modelId="{A256021D-9135-4A8E-B382-8E695EABD505}" srcId="{C29108D3-5626-4873-91DE-5AC55DFAAE21}" destId="{D1678D2B-9E4B-48A9-9032-898A9B514101}" srcOrd="2" destOrd="0" parTransId="{6CCD72A6-388D-4938-B61B-580AEFFAA306}" sibTransId="{5B07394B-AB76-4C66-BF5E-49496225FDAF}"/>
    <dgm:cxn modelId="{93A10B30-AEA2-476B-9B3E-4C94DA1134E9}" type="presOf" srcId="{C29108D3-5626-4873-91DE-5AC55DFAAE21}" destId="{DA966FAF-4515-474F-851A-E1AD8F400560}" srcOrd="0" destOrd="0" presId="urn:microsoft.com/office/officeart/2009/3/layout/IncreasingArrowsProcess"/>
    <dgm:cxn modelId="{0F444D38-7DF0-40C4-AE89-719498B6DD7A}" srcId="{C29108D3-5626-4873-91DE-5AC55DFAAE21}" destId="{1247CFA2-19F0-4BAA-A8DC-E460AE718F12}" srcOrd="1" destOrd="0" parTransId="{79BF71D5-3EC1-4ECB-92FB-F9AE20CA4D11}" sibTransId="{1565AE53-D215-48E4-B4E2-2EC961D20622}"/>
    <dgm:cxn modelId="{68DD183D-E1ED-4F09-9143-EF99D9E40247}" srcId="{02FFE1D4-DBB2-4B71-9F34-194969732E70}" destId="{59130F5D-AA20-4A51-A984-EAAC03DC1144}" srcOrd="0" destOrd="0" parTransId="{D1E9247F-31B1-46FE-86CF-ED27D241C7C3}" sibTransId="{C80FC41A-DE6F-448E-B20E-9B2AA3376F60}"/>
    <dgm:cxn modelId="{F03A6165-E452-4F0E-B846-D90E04EB12D5}" type="presOf" srcId="{698B3527-663A-4197-84EA-CEE5B570C085}" destId="{2ECF7D48-8DC9-497F-9D84-2CB0D0AC2B29}" srcOrd="0" destOrd="0" presId="urn:microsoft.com/office/officeart/2009/3/layout/IncreasingArrowsProcess"/>
    <dgm:cxn modelId="{91149F65-B775-4E2F-A08F-362245033FFB}" type="presOf" srcId="{1247CFA2-19F0-4BAA-A8DC-E460AE718F12}" destId="{60E45F84-CBBB-4C1C-B3DE-028980BD7FBA}" srcOrd="0" destOrd="0" presId="urn:microsoft.com/office/officeart/2009/3/layout/IncreasingArrowsProcess"/>
    <dgm:cxn modelId="{BE146273-0709-4836-B865-5E7100F8B1A3}" srcId="{C29108D3-5626-4873-91DE-5AC55DFAAE21}" destId="{02FFE1D4-DBB2-4B71-9F34-194969732E70}" srcOrd="0" destOrd="0" parTransId="{06B6D160-007F-479A-9D7B-B6C9E40F6E09}" sibTransId="{080284A1-D262-4FF3-AC16-8BA9B9C43A4A}"/>
    <dgm:cxn modelId="{F68F189A-DD43-4393-A284-ECD1AEBA50EF}" srcId="{D1678D2B-9E4B-48A9-9032-898A9B514101}" destId="{0970E001-7567-43C4-8CFB-56BC2A92BA50}" srcOrd="0" destOrd="0" parTransId="{1B084770-2B35-413B-BB2C-549BC018FACB}" sibTransId="{52611833-7344-4962-9AE9-CC13E62817E1}"/>
    <dgm:cxn modelId="{030E35C1-7CE9-463D-9FD0-99C7482DE820}" type="presOf" srcId="{0970E001-7567-43C4-8CFB-56BC2A92BA50}" destId="{E2674600-DC23-44DA-A4BC-3F2090668172}" srcOrd="0" destOrd="0" presId="urn:microsoft.com/office/officeart/2009/3/layout/IncreasingArrowsProcess"/>
    <dgm:cxn modelId="{2F1459C1-927D-43CB-9885-97B176C5CA71}" srcId="{1247CFA2-19F0-4BAA-A8DC-E460AE718F12}" destId="{698B3527-663A-4197-84EA-CEE5B570C085}" srcOrd="0" destOrd="0" parTransId="{BEE98C20-93BC-4C48-AC93-26EEE8E44646}" sibTransId="{FAA7CD99-562F-4072-AAEA-3A83E2822E64}"/>
    <dgm:cxn modelId="{E930666C-6B94-4A72-A53F-974FC72CA40C}" type="presParOf" srcId="{DA966FAF-4515-474F-851A-E1AD8F400560}" destId="{56F00840-3EBC-49A1-987D-BFE0DB4CE5B8}" srcOrd="0" destOrd="0" presId="urn:microsoft.com/office/officeart/2009/3/layout/IncreasingArrowsProcess"/>
    <dgm:cxn modelId="{AA33622F-7199-4E95-A203-2946923FAD8E}" type="presParOf" srcId="{DA966FAF-4515-474F-851A-E1AD8F400560}" destId="{51C7E22A-33E8-4214-BF05-530CE784F8DA}" srcOrd="1" destOrd="0" presId="urn:microsoft.com/office/officeart/2009/3/layout/IncreasingArrowsProcess"/>
    <dgm:cxn modelId="{F5EB914D-3630-491F-9FB4-CFB13BD7D4BF}" type="presParOf" srcId="{DA966FAF-4515-474F-851A-E1AD8F400560}" destId="{60E45F84-CBBB-4C1C-B3DE-028980BD7FBA}" srcOrd="2" destOrd="0" presId="urn:microsoft.com/office/officeart/2009/3/layout/IncreasingArrowsProcess"/>
    <dgm:cxn modelId="{C6D297A2-87C3-4F90-A065-1F0099FEF9A6}" type="presParOf" srcId="{DA966FAF-4515-474F-851A-E1AD8F400560}" destId="{2ECF7D48-8DC9-497F-9D84-2CB0D0AC2B29}" srcOrd="3" destOrd="0" presId="urn:microsoft.com/office/officeart/2009/3/layout/IncreasingArrowsProcess"/>
    <dgm:cxn modelId="{FA3BBFE1-65BC-4090-8849-2B6F8C326309}" type="presParOf" srcId="{DA966FAF-4515-474F-851A-E1AD8F400560}" destId="{75C1108E-ABAD-4B65-92F9-CAB8148F03D4}" srcOrd="4" destOrd="0" presId="urn:microsoft.com/office/officeart/2009/3/layout/IncreasingArrowsProcess"/>
    <dgm:cxn modelId="{28949F78-5EB6-4A62-921A-E20A97B0716B}" type="presParOf" srcId="{DA966FAF-4515-474F-851A-E1AD8F400560}" destId="{E2674600-DC23-44DA-A4BC-3F2090668172}" srcOrd="5" destOrd="0" presId="urn:microsoft.com/office/officeart/2009/3/layout/IncreasingArrows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F00840-3EBC-49A1-987D-BFE0DB4CE5B8}">
      <dsp:nvSpPr>
        <dsp:cNvPr id="0" name=""/>
        <dsp:cNvSpPr/>
      </dsp:nvSpPr>
      <dsp:spPr>
        <a:xfrm>
          <a:off x="0" y="203516"/>
          <a:ext cx="4741028" cy="690474"/>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9613" numCol="1" spcCol="1270" anchor="ctr" anchorCtr="0">
          <a:noAutofit/>
        </a:bodyPr>
        <a:lstStyle/>
        <a:p>
          <a:pPr marL="0" lvl="0" indent="0" algn="l" defTabSz="400050">
            <a:lnSpc>
              <a:spcPct val="90000"/>
            </a:lnSpc>
            <a:spcBef>
              <a:spcPct val="0"/>
            </a:spcBef>
            <a:spcAft>
              <a:spcPct val="35000"/>
            </a:spcAft>
            <a:buNone/>
          </a:pPr>
          <a:r>
            <a:rPr lang="en-GB" sz="900" b="1" kern="1200"/>
            <a:t>Cases referred by the police to the CPS for either early advice or a charging decision</a:t>
          </a:r>
        </a:p>
      </dsp:txBody>
      <dsp:txXfrm>
        <a:off x="0" y="376135"/>
        <a:ext cx="4568410" cy="345237"/>
      </dsp:txXfrm>
    </dsp:sp>
    <dsp:sp modelId="{51C7E22A-33E8-4214-BF05-530CE784F8DA}">
      <dsp:nvSpPr>
        <dsp:cNvPr id="0" name=""/>
        <dsp:cNvSpPr/>
      </dsp:nvSpPr>
      <dsp:spPr>
        <a:xfrm>
          <a:off x="11959" y="719106"/>
          <a:ext cx="1460236" cy="813999"/>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b="0" i="0" kern="1200"/>
            <a:t>5,651 cases</a:t>
          </a:r>
          <a:endParaRPr lang="en-GB" sz="900" kern="1200"/>
        </a:p>
      </dsp:txBody>
      <dsp:txXfrm>
        <a:off x="11959" y="719106"/>
        <a:ext cx="1460236" cy="813999"/>
      </dsp:txXfrm>
    </dsp:sp>
    <dsp:sp modelId="{60E45F84-CBBB-4C1C-B3DE-028980BD7FBA}">
      <dsp:nvSpPr>
        <dsp:cNvPr id="0" name=""/>
        <dsp:cNvSpPr/>
      </dsp:nvSpPr>
      <dsp:spPr>
        <a:xfrm>
          <a:off x="1460236" y="433675"/>
          <a:ext cx="3280792" cy="690474"/>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9613" numCol="1" spcCol="1270" anchor="ctr" anchorCtr="0">
          <a:noAutofit/>
        </a:bodyPr>
        <a:lstStyle/>
        <a:p>
          <a:pPr marL="0" lvl="0" indent="0" algn="l" defTabSz="400050">
            <a:lnSpc>
              <a:spcPct val="90000"/>
            </a:lnSpc>
            <a:spcBef>
              <a:spcPct val="0"/>
            </a:spcBef>
            <a:spcAft>
              <a:spcPct val="35000"/>
            </a:spcAft>
            <a:buFont typeface="Symbol" panose="05050102010706020507" pitchFamily="18" charset="2"/>
            <a:buNone/>
          </a:pPr>
          <a:r>
            <a:rPr lang="en-GB" sz="900" b="1" kern="1200"/>
            <a:t>Number of suspects authorised to be charged by the CPS</a:t>
          </a:r>
        </a:p>
      </dsp:txBody>
      <dsp:txXfrm>
        <a:off x="1460236" y="606294"/>
        <a:ext cx="3108174" cy="345237"/>
      </dsp:txXfrm>
    </dsp:sp>
    <dsp:sp modelId="{2ECF7D48-8DC9-497F-9D84-2CB0D0AC2B29}">
      <dsp:nvSpPr>
        <dsp:cNvPr id="0" name=""/>
        <dsp:cNvSpPr/>
      </dsp:nvSpPr>
      <dsp:spPr>
        <a:xfrm>
          <a:off x="1466209" y="946298"/>
          <a:ext cx="1460236" cy="867762"/>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b="0" i="0" kern="1200"/>
            <a:t>2,473</a:t>
          </a:r>
          <a:r>
            <a:rPr lang="en-GB" sz="900" kern="1200"/>
            <a:t> cases</a:t>
          </a:r>
        </a:p>
      </dsp:txBody>
      <dsp:txXfrm>
        <a:off x="1466209" y="946298"/>
        <a:ext cx="1460236" cy="867762"/>
      </dsp:txXfrm>
    </dsp:sp>
    <dsp:sp modelId="{75C1108E-ABAD-4B65-92F9-CAB8148F03D4}">
      <dsp:nvSpPr>
        <dsp:cNvPr id="0" name=""/>
        <dsp:cNvSpPr/>
      </dsp:nvSpPr>
      <dsp:spPr>
        <a:xfrm>
          <a:off x="2920473" y="663833"/>
          <a:ext cx="1820555" cy="690474"/>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9613" numCol="1" spcCol="1270" anchor="ctr" anchorCtr="0">
          <a:noAutofit/>
        </a:bodyPr>
        <a:lstStyle/>
        <a:p>
          <a:pPr marL="0" lvl="0" indent="0" algn="l" defTabSz="400050">
            <a:lnSpc>
              <a:spcPct val="90000"/>
            </a:lnSpc>
            <a:spcBef>
              <a:spcPct val="0"/>
            </a:spcBef>
            <a:spcAft>
              <a:spcPct val="35000"/>
            </a:spcAft>
            <a:buNone/>
          </a:pPr>
          <a:r>
            <a:rPr lang="en-GB" sz="900" b="1" kern="1200"/>
            <a:t>Receipts at Crown Court</a:t>
          </a:r>
        </a:p>
      </dsp:txBody>
      <dsp:txXfrm>
        <a:off x="2920473" y="836452"/>
        <a:ext cx="1647937" cy="345237"/>
      </dsp:txXfrm>
    </dsp:sp>
    <dsp:sp modelId="{E2674600-DC23-44DA-A4BC-3F2090668172}">
      <dsp:nvSpPr>
        <dsp:cNvPr id="0" name=""/>
        <dsp:cNvSpPr/>
      </dsp:nvSpPr>
      <dsp:spPr>
        <a:xfrm>
          <a:off x="2926446" y="1098023"/>
          <a:ext cx="1460236" cy="92147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b="0" i="0" kern="1200"/>
            <a:t>2,566</a:t>
          </a:r>
          <a:r>
            <a:rPr lang="en-GB" sz="900" kern="1200"/>
            <a:t> cases</a:t>
          </a:r>
        </a:p>
      </dsp:txBody>
      <dsp:txXfrm>
        <a:off x="2926446" y="1098023"/>
        <a:ext cx="1460236" cy="9214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F00840-3EBC-49A1-987D-BFE0DB4CE5B8}">
      <dsp:nvSpPr>
        <dsp:cNvPr id="0" name=""/>
        <dsp:cNvSpPr/>
      </dsp:nvSpPr>
      <dsp:spPr>
        <a:xfrm>
          <a:off x="0" y="203516"/>
          <a:ext cx="4741028" cy="690474"/>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9613" numCol="1" spcCol="1270" anchor="ctr" anchorCtr="0">
          <a:noAutofit/>
        </a:bodyPr>
        <a:lstStyle/>
        <a:p>
          <a:pPr marL="0" lvl="0" indent="0" algn="l" defTabSz="400050">
            <a:lnSpc>
              <a:spcPct val="90000"/>
            </a:lnSpc>
            <a:spcBef>
              <a:spcPct val="0"/>
            </a:spcBef>
            <a:spcAft>
              <a:spcPct val="35000"/>
            </a:spcAft>
            <a:buNone/>
          </a:pPr>
          <a:r>
            <a:rPr lang="en-GB" sz="900" b="1" kern="1200"/>
            <a:t>Cases referred by the police to the CPS for either early advice or a charging decision</a:t>
          </a:r>
        </a:p>
      </dsp:txBody>
      <dsp:txXfrm>
        <a:off x="0" y="376135"/>
        <a:ext cx="4568410" cy="345237"/>
      </dsp:txXfrm>
    </dsp:sp>
    <dsp:sp modelId="{51C7E22A-33E8-4214-BF05-530CE784F8DA}">
      <dsp:nvSpPr>
        <dsp:cNvPr id="0" name=""/>
        <dsp:cNvSpPr/>
      </dsp:nvSpPr>
      <dsp:spPr>
        <a:xfrm>
          <a:off x="11959" y="719106"/>
          <a:ext cx="1460236" cy="813999"/>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99 cases</a:t>
          </a:r>
        </a:p>
      </dsp:txBody>
      <dsp:txXfrm>
        <a:off x="11959" y="719106"/>
        <a:ext cx="1460236" cy="813999"/>
      </dsp:txXfrm>
    </dsp:sp>
    <dsp:sp modelId="{60E45F84-CBBB-4C1C-B3DE-028980BD7FBA}">
      <dsp:nvSpPr>
        <dsp:cNvPr id="0" name=""/>
        <dsp:cNvSpPr/>
      </dsp:nvSpPr>
      <dsp:spPr>
        <a:xfrm>
          <a:off x="1460236" y="433675"/>
          <a:ext cx="3280792" cy="690474"/>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9613" numCol="1" spcCol="1270" anchor="ctr" anchorCtr="0">
          <a:noAutofit/>
        </a:bodyPr>
        <a:lstStyle/>
        <a:p>
          <a:pPr marL="0" lvl="0" indent="0" algn="l" defTabSz="400050">
            <a:lnSpc>
              <a:spcPct val="90000"/>
            </a:lnSpc>
            <a:spcBef>
              <a:spcPct val="0"/>
            </a:spcBef>
            <a:spcAft>
              <a:spcPct val="35000"/>
            </a:spcAft>
            <a:buFont typeface="Symbol" panose="05050102010706020507" pitchFamily="18" charset="2"/>
            <a:buNone/>
          </a:pPr>
          <a:r>
            <a:rPr lang="en-GB" sz="900" b="1" kern="1200"/>
            <a:t>Number of suspects authorised to be charged by the CPS</a:t>
          </a:r>
        </a:p>
      </dsp:txBody>
      <dsp:txXfrm>
        <a:off x="1460236" y="606294"/>
        <a:ext cx="3108174" cy="345237"/>
      </dsp:txXfrm>
    </dsp:sp>
    <dsp:sp modelId="{2ECF7D48-8DC9-497F-9D84-2CB0D0AC2B29}">
      <dsp:nvSpPr>
        <dsp:cNvPr id="0" name=""/>
        <dsp:cNvSpPr/>
      </dsp:nvSpPr>
      <dsp:spPr>
        <a:xfrm>
          <a:off x="1466209" y="946298"/>
          <a:ext cx="1460236" cy="867762"/>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60 cases</a:t>
          </a:r>
        </a:p>
      </dsp:txBody>
      <dsp:txXfrm>
        <a:off x="1466209" y="946298"/>
        <a:ext cx="1460236" cy="867762"/>
      </dsp:txXfrm>
    </dsp:sp>
    <dsp:sp modelId="{75C1108E-ABAD-4B65-92F9-CAB8148F03D4}">
      <dsp:nvSpPr>
        <dsp:cNvPr id="0" name=""/>
        <dsp:cNvSpPr/>
      </dsp:nvSpPr>
      <dsp:spPr>
        <a:xfrm>
          <a:off x="2920473" y="663833"/>
          <a:ext cx="1820555" cy="690474"/>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254000" bIns="109613" numCol="1" spcCol="1270" anchor="ctr" anchorCtr="0">
          <a:noAutofit/>
        </a:bodyPr>
        <a:lstStyle/>
        <a:p>
          <a:pPr marL="0" lvl="0" indent="0" algn="l" defTabSz="400050">
            <a:lnSpc>
              <a:spcPct val="90000"/>
            </a:lnSpc>
            <a:spcBef>
              <a:spcPct val="0"/>
            </a:spcBef>
            <a:spcAft>
              <a:spcPct val="35000"/>
            </a:spcAft>
            <a:buNone/>
          </a:pPr>
          <a:r>
            <a:rPr lang="en-GB" sz="900" b="1" kern="1200"/>
            <a:t>Receipts at Crown Court</a:t>
          </a:r>
        </a:p>
      </dsp:txBody>
      <dsp:txXfrm>
        <a:off x="2920473" y="836452"/>
        <a:ext cx="1647937" cy="345237"/>
      </dsp:txXfrm>
    </dsp:sp>
    <dsp:sp modelId="{E2674600-DC23-44DA-A4BC-3F2090668172}">
      <dsp:nvSpPr>
        <dsp:cNvPr id="0" name=""/>
        <dsp:cNvSpPr/>
      </dsp:nvSpPr>
      <dsp:spPr>
        <a:xfrm>
          <a:off x="2926446" y="1098023"/>
          <a:ext cx="1460236" cy="92147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71 cases</a:t>
          </a:r>
        </a:p>
      </dsp:txBody>
      <dsp:txXfrm>
        <a:off x="2926446" y="1098023"/>
        <a:ext cx="1460236" cy="92147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94268-24dc-410b-874d-2931347762c6">
      <Terms xmlns="http://schemas.microsoft.com/office/infopath/2007/PartnerControls"/>
    </lcf76f155ced4ddcb4097134ff3c332f>
    <TaxCatchAll xmlns="c3447cb4-362b-4d51-9c37-e93355298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58CC90DCD64489FEBFCF072C3E350" ma:contentTypeVersion="15" ma:contentTypeDescription="Create a new document." ma:contentTypeScope="" ma:versionID="d14ceaddfb8fdeed351afae8ef27277a">
  <xsd:schema xmlns:xsd="http://www.w3.org/2001/XMLSchema" xmlns:xs="http://www.w3.org/2001/XMLSchema" xmlns:p="http://schemas.microsoft.com/office/2006/metadata/properties" xmlns:ns2="7e494268-24dc-410b-874d-2931347762c6" xmlns:ns3="c3447cb4-362b-4d51-9c37-e93355298296" targetNamespace="http://schemas.microsoft.com/office/2006/metadata/properties" ma:root="true" ma:fieldsID="a222b23d956ab8a1e902f84209efc898" ns2:_="" ns3:_="">
    <xsd:import namespace="7e494268-24dc-410b-874d-2931347762c6"/>
    <xsd:import namespace="c3447cb4-362b-4d51-9c37-e93355298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94268-24dc-410b-874d-29313477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47cb4-362b-4d51-9c37-e93355298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7cab8d-28be-410c-85aa-d5892ddb81e0}" ma:internalName="TaxCatchAll" ma:showField="CatchAllData" ma:web="c3447cb4-362b-4d51-9c37-e93355298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FA4EE-85D5-4CB1-8AB4-009473FCB1D9}">
  <ds:schemaRefs>
    <ds:schemaRef ds:uri="http://schemas.openxmlformats.org/officeDocument/2006/bibliography"/>
  </ds:schemaRefs>
</ds:datastoreItem>
</file>

<file path=customXml/itemProps2.xml><?xml version="1.0" encoding="utf-8"?>
<ds:datastoreItem xmlns:ds="http://schemas.openxmlformats.org/officeDocument/2006/customXml" ds:itemID="{B2FE9054-7CBD-45B2-87A4-4AD6B818F8F7}">
  <ds:schemaRefs>
    <ds:schemaRef ds:uri="http://purl.org/dc/terms/"/>
    <ds:schemaRef ds:uri="http://schemas.microsoft.com/office/2006/documentManagement/types"/>
    <ds:schemaRef ds:uri="7e494268-24dc-410b-874d-2931347762c6"/>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3447cb4-362b-4d51-9c37-e93355298296"/>
    <ds:schemaRef ds:uri="http://www.w3.org/XML/1998/namespace"/>
    <ds:schemaRef ds:uri="http://purl.org/dc/dcmitype/"/>
  </ds:schemaRefs>
</ds:datastoreItem>
</file>

<file path=customXml/itemProps3.xml><?xml version="1.0" encoding="utf-8"?>
<ds:datastoreItem xmlns:ds="http://schemas.openxmlformats.org/officeDocument/2006/customXml" ds:itemID="{5614F287-B916-48DD-B1BC-0538828185F8}">
  <ds:schemaRefs>
    <ds:schemaRef ds:uri="http://schemas.microsoft.com/sharepoint/v3/contenttype/forms"/>
  </ds:schemaRefs>
</ds:datastoreItem>
</file>

<file path=customXml/itemProps4.xml><?xml version="1.0" encoding="utf-8"?>
<ds:datastoreItem xmlns:ds="http://schemas.openxmlformats.org/officeDocument/2006/customXml" ds:itemID="{CA58E6D5-0C33-414C-A913-C2257E94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94268-24dc-410b-874d-2931347762c6"/>
    <ds:schemaRef ds:uri="c3447cb4-362b-4d51-9c37-e9335529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9277</Words>
  <Characters>52880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62033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Llewellyn</dc:creator>
  <cp:keywords/>
  <dc:description/>
  <cp:lastModifiedBy>Jennifer Llewellyn</cp:lastModifiedBy>
  <cp:revision>2</cp:revision>
  <dcterms:created xsi:type="dcterms:W3CDTF">2025-05-28T09:46:00Z</dcterms:created>
  <dcterms:modified xsi:type="dcterms:W3CDTF">2025-05-28T09:46:00Z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2024-01-19T12:56:50Z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f789a858-c97f-4494-9183-dfee3b5cbb1a</vt:lpwstr>
  </property>
  <property fmtid="{D5CDD505-2E9C-101B-9397-08002B2CF9AE}" pid="8" name="MSIP_Label_c8588358-c3f1-4695-a290-e2f70d15689d_ContentBits">
    <vt:lpwstr>0</vt:lpwstr>
  </property>
  <property fmtid="{D5CDD505-2E9C-101B-9397-08002B2CF9AE}" pid="9" name="ContentTypeId">
    <vt:lpwstr>0x01010015158CC90DCD64489FEBFCF072C3E350</vt:lpwstr>
  </property>
  <property fmtid="{D5CDD505-2E9C-101B-9397-08002B2CF9AE}" pid="10" name="MediaServiceImageTags">
    <vt:lpwstr/>
  </property>
</Properties>
</file>