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374D" w14:textId="17EC2F25" w:rsidR="005673B4" w:rsidRPr="00491A45" w:rsidRDefault="005673B4" w:rsidP="007A0A6D">
      <w:pPr>
        <w:spacing w:line="240" w:lineRule="auto"/>
        <w:rPr>
          <w:rFonts w:ascii="Calibri" w:eastAsia="Calibri" w:hAnsi="Calibri" w:cs="Calibri"/>
          <w:sz w:val="22"/>
          <w:szCs w:val="22"/>
        </w:rPr>
      </w:pPr>
    </w:p>
    <w:tbl>
      <w:tblPr>
        <w:tblW w:w="10490" w:type="dxa"/>
        <w:tblInd w:w="-714"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0490"/>
      </w:tblGrid>
      <w:tr w:rsidR="00697790" w14:paraId="6FC9F553" w14:textId="77777777" w:rsidTr="005F141C">
        <w:tc>
          <w:tcPr>
            <w:tcW w:w="10490" w:type="dxa"/>
            <w:tcBorders>
              <w:bottom w:val="single" w:sz="4" w:space="0" w:color="000000"/>
            </w:tcBorders>
            <w:tcMar>
              <w:top w:w="0" w:type="dxa"/>
              <w:left w:w="108" w:type="dxa"/>
              <w:bottom w:w="0" w:type="dxa"/>
              <w:right w:w="108" w:type="dxa"/>
            </w:tcMar>
          </w:tcPr>
          <w:p w14:paraId="16810C85" w14:textId="6BA2B898" w:rsidR="00697790" w:rsidRPr="00041F1A" w:rsidRDefault="00697790">
            <w:pPr>
              <w:spacing w:line="240" w:lineRule="auto"/>
              <w:rPr>
                <w:rFonts w:eastAsia="Calibri"/>
                <w:b/>
                <w:bCs/>
                <w:color w:val="000000"/>
              </w:rPr>
            </w:pPr>
            <w:r w:rsidRPr="00041F1A">
              <w:rPr>
                <w:rFonts w:eastAsia="Calibri"/>
                <w:b/>
                <w:bCs/>
                <w:color w:val="000000"/>
              </w:rPr>
              <w:t>Introduction</w:t>
            </w:r>
          </w:p>
        </w:tc>
      </w:tr>
      <w:tr w:rsidR="00697790" w14:paraId="602BF2B0" w14:textId="77777777" w:rsidTr="005F141C">
        <w:tc>
          <w:tcPr>
            <w:tcW w:w="10490" w:type="dxa"/>
            <w:tcBorders>
              <w:bottom w:val="single" w:sz="4" w:space="0" w:color="000000"/>
            </w:tcBorders>
            <w:tcMar>
              <w:top w:w="0" w:type="dxa"/>
              <w:left w:w="108" w:type="dxa"/>
              <w:bottom w:w="0" w:type="dxa"/>
              <w:right w:w="108" w:type="dxa"/>
            </w:tcMar>
          </w:tcPr>
          <w:p w14:paraId="1AD8BD7C" w14:textId="77777777" w:rsidR="00CE7C6C" w:rsidRPr="00041F1A" w:rsidRDefault="00CE7C6C" w:rsidP="00697790">
            <w:pPr>
              <w:spacing w:line="240" w:lineRule="auto"/>
            </w:pPr>
          </w:p>
          <w:p w14:paraId="7B0BF35C" w14:textId="77777777" w:rsidR="00041F1A" w:rsidRPr="00041F1A" w:rsidRDefault="00697790" w:rsidP="00697790">
            <w:pPr>
              <w:spacing w:line="240" w:lineRule="auto"/>
            </w:pPr>
            <w:r w:rsidRPr="00041F1A">
              <w:t>This document provide</w:t>
            </w:r>
            <w:r w:rsidR="00CE7C6C" w:rsidRPr="00041F1A">
              <w:t>s</w:t>
            </w:r>
            <w:r w:rsidRPr="00041F1A">
              <w:t xml:space="preserve"> a Market </w:t>
            </w:r>
            <w:r w:rsidR="00041F1A" w:rsidRPr="00041F1A">
              <w:t xml:space="preserve">Sustainability Plan </w:t>
            </w:r>
            <w:r w:rsidRPr="00041F1A">
              <w:t>in line with DHSC requirements for the</w:t>
            </w:r>
            <w:r w:rsidR="00165622" w:rsidRPr="00041F1A">
              <w:t xml:space="preserve"> Market Sustainability and Fair Cost </w:t>
            </w:r>
            <w:r w:rsidR="00CE7C6C" w:rsidRPr="00041F1A">
              <w:t>of</w:t>
            </w:r>
            <w:r w:rsidR="00165622" w:rsidRPr="00041F1A">
              <w:t xml:space="preserve"> Care Fund</w:t>
            </w:r>
            <w:r w:rsidR="00CE7C6C" w:rsidRPr="00041F1A">
              <w:t xml:space="preserve"> and exercise</w:t>
            </w:r>
            <w:r w:rsidR="00165622" w:rsidRPr="00041F1A">
              <w:t xml:space="preserve">.  This Statement only covers Care Homes (65+) and Domiciliary Care (18+).  </w:t>
            </w:r>
          </w:p>
          <w:p w14:paraId="20E3938C" w14:textId="77777777" w:rsidR="00041F1A" w:rsidRPr="00041F1A" w:rsidRDefault="00041F1A" w:rsidP="00697790">
            <w:pPr>
              <w:spacing w:line="240" w:lineRule="auto"/>
            </w:pPr>
          </w:p>
          <w:p w14:paraId="31732995" w14:textId="7C434B2D" w:rsidR="00041F1A" w:rsidRPr="00041F1A" w:rsidRDefault="00041F1A" w:rsidP="00697790">
            <w:pPr>
              <w:spacing w:line="240" w:lineRule="auto"/>
            </w:pPr>
            <w:r w:rsidRPr="00041F1A">
              <w:t xml:space="preserve">This document should be read alongside our </w:t>
            </w:r>
            <w:r w:rsidR="00165622" w:rsidRPr="00041F1A">
              <w:t xml:space="preserve">existing </w:t>
            </w:r>
            <w:hyperlink r:id="rId8" w:history="1">
              <w:r w:rsidRPr="00041F1A">
                <w:rPr>
                  <w:rStyle w:val="Hyperlink"/>
                </w:rPr>
                <w:t>Market Position Statement</w:t>
              </w:r>
            </w:hyperlink>
            <w:r w:rsidRPr="00041F1A">
              <w:t xml:space="preserve"> and </w:t>
            </w:r>
            <w:proofErr w:type="spellStart"/>
            <w:r w:rsidRPr="00041F1A">
              <w:t>our</w:t>
            </w:r>
            <w:proofErr w:type="spellEnd"/>
            <w:r w:rsidRPr="00041F1A">
              <w:t xml:space="preserve"> .</w:t>
            </w:r>
          </w:p>
          <w:p w14:paraId="73ECC22A" w14:textId="2FC6CC68" w:rsidR="00697790" w:rsidRPr="00041F1A" w:rsidRDefault="00646604" w:rsidP="00041F1A">
            <w:pPr>
              <w:spacing w:line="240" w:lineRule="auto"/>
            </w:pPr>
            <w:hyperlink r:id="rId9" w:history="1">
              <w:r w:rsidR="00041F1A" w:rsidRPr="00041F1A">
                <w:rPr>
                  <w:color w:val="0000FF"/>
                  <w:u w:val="single"/>
                </w:rPr>
                <w:t>Market Oversight and Sustainability Delivery 23/24</w:t>
              </w:r>
            </w:hyperlink>
            <w:r w:rsidR="00041F1A" w:rsidRPr="00041F1A">
              <w:t xml:space="preserve"> which </w:t>
            </w:r>
            <w:r w:rsidR="00165622" w:rsidRPr="00041F1A">
              <w:t>cover the full social care market</w:t>
            </w:r>
            <w:r w:rsidR="00041F1A" w:rsidRPr="00041F1A">
              <w:t>.</w:t>
            </w:r>
            <w:r w:rsidR="00165622" w:rsidRPr="00041F1A">
              <w:t xml:space="preserve"> </w:t>
            </w:r>
          </w:p>
          <w:p w14:paraId="31D55508" w14:textId="119FD7B7" w:rsidR="00041F1A" w:rsidRPr="00041F1A" w:rsidRDefault="00041F1A" w:rsidP="00041F1A">
            <w:pPr>
              <w:spacing w:line="240" w:lineRule="auto"/>
              <w:rPr>
                <w:rFonts w:eastAsia="Calibri"/>
                <w:color w:val="000000"/>
              </w:rPr>
            </w:pPr>
          </w:p>
        </w:tc>
      </w:tr>
      <w:tr w:rsidR="00731897" w14:paraId="43FDF336" w14:textId="77777777" w:rsidTr="005F141C">
        <w:tc>
          <w:tcPr>
            <w:tcW w:w="10490" w:type="dxa"/>
            <w:tcBorders>
              <w:bottom w:val="single" w:sz="4" w:space="0" w:color="000000"/>
            </w:tcBorders>
            <w:tcMar>
              <w:top w:w="0" w:type="dxa"/>
              <w:left w:w="108" w:type="dxa"/>
              <w:bottom w:w="0" w:type="dxa"/>
              <w:right w:w="108" w:type="dxa"/>
            </w:tcMar>
            <w:hideMark/>
          </w:tcPr>
          <w:p w14:paraId="183F005F" w14:textId="428DB285" w:rsidR="00731897" w:rsidRPr="00041F1A" w:rsidRDefault="0070324C">
            <w:pPr>
              <w:spacing w:line="240" w:lineRule="auto"/>
              <w:rPr>
                <w:color w:val="000000"/>
              </w:rPr>
            </w:pPr>
            <w:r w:rsidRPr="00041F1A">
              <w:rPr>
                <w:rFonts w:eastAsia="Calibri"/>
                <w:b/>
                <w:bCs/>
                <w:color w:val="000000"/>
              </w:rPr>
              <w:t xml:space="preserve">Section </w:t>
            </w:r>
            <w:r w:rsidR="00041F1A" w:rsidRPr="00041F1A">
              <w:rPr>
                <w:rFonts w:eastAsia="Calibri"/>
                <w:b/>
                <w:bCs/>
                <w:color w:val="000000"/>
              </w:rPr>
              <w:t>1: Revised</w:t>
            </w:r>
            <w:r w:rsidRPr="00041F1A">
              <w:rPr>
                <w:rFonts w:eastAsia="Calibri"/>
                <w:b/>
                <w:bCs/>
                <w:color w:val="000000"/>
              </w:rPr>
              <w:t xml:space="preserve"> </w:t>
            </w:r>
            <w:r w:rsidR="00041F1A" w:rsidRPr="00041F1A">
              <w:rPr>
                <w:rFonts w:eastAsia="Calibri"/>
                <w:b/>
                <w:bCs/>
                <w:color w:val="000000"/>
              </w:rPr>
              <w:t>a</w:t>
            </w:r>
            <w:r w:rsidRPr="00041F1A">
              <w:rPr>
                <w:rFonts w:eastAsia="Calibri"/>
                <w:b/>
                <w:bCs/>
                <w:color w:val="000000"/>
              </w:rPr>
              <w:t>ssessment of the current sustainability of local care markets</w:t>
            </w:r>
          </w:p>
        </w:tc>
      </w:tr>
      <w:tr w:rsidR="00731897" w:rsidRPr="00491A45" w14:paraId="38A3A8D2"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486FF8E2" w14:textId="77777777" w:rsidR="00041F1A" w:rsidRPr="00041F1A" w:rsidRDefault="00041F1A">
            <w:pPr>
              <w:spacing w:line="240" w:lineRule="auto"/>
              <w:rPr>
                <w:rFonts w:eastAsia="Calibri"/>
                <w:b/>
                <w:bCs/>
                <w:color w:val="000000"/>
              </w:rPr>
            </w:pPr>
          </w:p>
          <w:p w14:paraId="7EBC6621" w14:textId="05DF1EBA" w:rsidR="00052617" w:rsidRDefault="00052617">
            <w:pPr>
              <w:spacing w:line="240" w:lineRule="auto"/>
              <w:rPr>
                <w:rFonts w:eastAsia="Calibri"/>
                <w:b/>
                <w:bCs/>
                <w:color w:val="000000"/>
              </w:rPr>
            </w:pPr>
            <w:r w:rsidRPr="00041F1A">
              <w:rPr>
                <w:rFonts w:eastAsia="Calibri"/>
                <w:b/>
                <w:bCs/>
                <w:color w:val="000000"/>
              </w:rPr>
              <w:t>Overview</w:t>
            </w:r>
          </w:p>
          <w:p w14:paraId="5BAA84F5" w14:textId="77777777" w:rsidR="00041F1A" w:rsidRPr="00041F1A" w:rsidRDefault="00041F1A">
            <w:pPr>
              <w:spacing w:line="240" w:lineRule="auto"/>
              <w:rPr>
                <w:rFonts w:eastAsia="Calibri"/>
                <w:b/>
                <w:bCs/>
                <w:color w:val="000000"/>
              </w:rPr>
            </w:pPr>
          </w:p>
          <w:p w14:paraId="69C1B093" w14:textId="5D97088F" w:rsidR="00405406" w:rsidRPr="00041F1A" w:rsidRDefault="007E231D">
            <w:pPr>
              <w:spacing w:line="240" w:lineRule="auto"/>
              <w:rPr>
                <w:rFonts w:eastAsia="Calibri"/>
                <w:color w:val="000000"/>
              </w:rPr>
            </w:pPr>
            <w:r w:rsidRPr="00041F1A">
              <w:rPr>
                <w:rFonts w:eastAsia="Calibri"/>
                <w:color w:val="000000"/>
              </w:rPr>
              <w:t xml:space="preserve">The </w:t>
            </w:r>
            <w:r w:rsidR="001933F4" w:rsidRPr="00041F1A">
              <w:rPr>
                <w:rFonts w:eastAsia="Calibri"/>
                <w:color w:val="000000"/>
              </w:rPr>
              <w:t xml:space="preserve">combined </w:t>
            </w:r>
            <w:r w:rsidRPr="00041F1A">
              <w:rPr>
                <w:rFonts w:eastAsia="Calibri"/>
                <w:color w:val="000000"/>
              </w:rPr>
              <w:t xml:space="preserve">value of </w:t>
            </w:r>
            <w:r w:rsidR="001933F4" w:rsidRPr="00041F1A">
              <w:rPr>
                <w:rFonts w:eastAsia="Calibri"/>
                <w:color w:val="000000"/>
              </w:rPr>
              <w:t xml:space="preserve">the </w:t>
            </w:r>
            <w:r w:rsidRPr="00041F1A">
              <w:rPr>
                <w:rFonts w:eastAsia="Calibri"/>
                <w:color w:val="000000"/>
              </w:rPr>
              <w:t>care home (65+) and domiciliary care (18+)</w:t>
            </w:r>
            <w:r w:rsidR="001933F4" w:rsidRPr="00041F1A">
              <w:rPr>
                <w:rFonts w:eastAsia="Calibri"/>
                <w:color w:val="000000"/>
              </w:rPr>
              <w:t xml:space="preserve"> markets</w:t>
            </w:r>
            <w:r w:rsidRPr="00041F1A">
              <w:rPr>
                <w:rFonts w:eastAsia="Calibri"/>
                <w:color w:val="000000"/>
              </w:rPr>
              <w:t xml:space="preserve"> in Sheffield is estimated at £2</w:t>
            </w:r>
            <w:r w:rsidR="0038240E" w:rsidRPr="00041F1A">
              <w:rPr>
                <w:rFonts w:eastAsia="Calibri"/>
                <w:color w:val="000000"/>
              </w:rPr>
              <w:t>23</w:t>
            </w:r>
            <w:r w:rsidRPr="00041F1A">
              <w:rPr>
                <w:rFonts w:eastAsia="Calibri"/>
                <w:color w:val="000000"/>
              </w:rPr>
              <w:t>m in 2022/23, comprising £1</w:t>
            </w:r>
            <w:r w:rsidR="0038240E" w:rsidRPr="00041F1A">
              <w:rPr>
                <w:rFonts w:eastAsia="Calibri"/>
                <w:color w:val="000000"/>
              </w:rPr>
              <w:t>32</w:t>
            </w:r>
            <w:r w:rsidRPr="00041F1A">
              <w:rPr>
                <w:rFonts w:eastAsia="Calibri"/>
                <w:color w:val="000000"/>
              </w:rPr>
              <w:t xml:space="preserve">m for care homes and £91m for domiciliary care. The </w:t>
            </w:r>
            <w:r w:rsidR="00A67E6E" w:rsidRPr="00041F1A">
              <w:rPr>
                <w:rFonts w:eastAsia="Calibri"/>
                <w:color w:val="000000"/>
              </w:rPr>
              <w:t xml:space="preserve">estimated </w:t>
            </w:r>
            <w:r w:rsidRPr="00041F1A">
              <w:rPr>
                <w:rFonts w:eastAsia="Calibri"/>
                <w:color w:val="000000"/>
              </w:rPr>
              <w:t>breakdown by funding source is: 4</w:t>
            </w:r>
            <w:r w:rsidR="0038240E" w:rsidRPr="00041F1A">
              <w:rPr>
                <w:rFonts w:eastAsia="Calibri"/>
                <w:color w:val="000000"/>
              </w:rPr>
              <w:t>3</w:t>
            </w:r>
            <w:r w:rsidRPr="00041F1A">
              <w:rPr>
                <w:rFonts w:eastAsia="Calibri"/>
                <w:color w:val="000000"/>
              </w:rPr>
              <w:t>% local authority, 42% private and 1</w:t>
            </w:r>
            <w:r w:rsidR="0038240E" w:rsidRPr="00041F1A">
              <w:rPr>
                <w:rFonts w:eastAsia="Calibri"/>
                <w:color w:val="000000"/>
              </w:rPr>
              <w:t>5</w:t>
            </w:r>
            <w:r w:rsidRPr="00041F1A">
              <w:rPr>
                <w:rFonts w:eastAsia="Calibri"/>
                <w:color w:val="000000"/>
              </w:rPr>
              <w:t xml:space="preserve">% NHS. </w:t>
            </w:r>
            <w:r w:rsidR="001933F4" w:rsidRPr="00041F1A">
              <w:rPr>
                <w:rFonts w:eastAsia="Calibri"/>
                <w:color w:val="000000"/>
              </w:rPr>
              <w:t>In this mixed market, p</w:t>
            </w:r>
            <w:r w:rsidRPr="00041F1A">
              <w:rPr>
                <w:rFonts w:eastAsia="Calibri"/>
                <w:color w:val="000000"/>
              </w:rPr>
              <w:t xml:space="preserve">rivate spending is </w:t>
            </w:r>
            <w:r w:rsidR="0038240E" w:rsidRPr="00041F1A">
              <w:rPr>
                <w:rFonts w:eastAsia="Calibri"/>
                <w:color w:val="000000"/>
              </w:rPr>
              <w:t>almost equal to</w:t>
            </w:r>
            <w:r w:rsidRPr="00041F1A">
              <w:rPr>
                <w:rFonts w:eastAsia="Calibri"/>
                <w:color w:val="000000"/>
              </w:rPr>
              <w:t xml:space="preserve"> council spending</w:t>
            </w:r>
            <w:r w:rsidR="0038240E" w:rsidRPr="00041F1A">
              <w:rPr>
                <w:rFonts w:eastAsia="Calibri"/>
                <w:color w:val="000000"/>
              </w:rPr>
              <w:t>, mainly</w:t>
            </w:r>
            <w:r w:rsidRPr="00041F1A">
              <w:rPr>
                <w:rFonts w:eastAsia="Calibri"/>
                <w:color w:val="000000"/>
              </w:rPr>
              <w:t xml:space="preserve"> b</w:t>
            </w:r>
            <w:r w:rsidR="001933F4" w:rsidRPr="00041F1A">
              <w:rPr>
                <w:rFonts w:eastAsia="Calibri"/>
                <w:color w:val="000000"/>
              </w:rPr>
              <w:t>y virtue</w:t>
            </w:r>
            <w:r w:rsidRPr="00041F1A">
              <w:rPr>
                <w:rFonts w:eastAsia="Calibri"/>
                <w:color w:val="000000"/>
              </w:rPr>
              <w:t xml:space="preserve"> of the substantial private pay premium for care homes.</w:t>
            </w:r>
            <w:r w:rsidR="000F2A7D" w:rsidRPr="00041F1A">
              <w:rPr>
                <w:rFonts w:eastAsia="Calibri"/>
                <w:color w:val="000000"/>
              </w:rPr>
              <w:t xml:space="preserve"> </w:t>
            </w:r>
          </w:p>
          <w:p w14:paraId="7F1387B2" w14:textId="77777777" w:rsidR="00405406" w:rsidRPr="00041F1A" w:rsidRDefault="00405406">
            <w:pPr>
              <w:spacing w:line="240" w:lineRule="auto"/>
              <w:rPr>
                <w:rFonts w:eastAsia="Calibri"/>
                <w:color w:val="000000"/>
              </w:rPr>
            </w:pPr>
          </w:p>
          <w:p w14:paraId="52FA5931" w14:textId="4D71B767" w:rsidR="00A67E6E" w:rsidRPr="00041F1A" w:rsidRDefault="000F2A7D">
            <w:pPr>
              <w:spacing w:line="240" w:lineRule="auto"/>
              <w:rPr>
                <w:rFonts w:eastAsia="Calibri"/>
              </w:rPr>
            </w:pPr>
            <w:r w:rsidRPr="00041F1A">
              <w:rPr>
                <w:rFonts w:eastAsia="Calibri"/>
                <w:color w:val="000000"/>
              </w:rPr>
              <w:t>T</w:t>
            </w:r>
            <w:r w:rsidR="0038240E" w:rsidRPr="00041F1A">
              <w:rPr>
                <w:rFonts w:eastAsia="Calibri"/>
              </w:rPr>
              <w:t xml:space="preserve">he principal challenge to </w:t>
            </w:r>
            <w:r w:rsidRPr="00041F1A">
              <w:rPr>
                <w:rFonts w:eastAsia="Calibri"/>
              </w:rPr>
              <w:t>the</w:t>
            </w:r>
            <w:r w:rsidR="00DA0533" w:rsidRPr="00041F1A">
              <w:rPr>
                <w:rFonts w:eastAsia="Calibri"/>
              </w:rPr>
              <w:t xml:space="preserve"> </w:t>
            </w:r>
            <w:r w:rsidR="0038240E" w:rsidRPr="00041F1A">
              <w:rPr>
                <w:rFonts w:eastAsia="Calibri"/>
              </w:rPr>
              <w:t>sustainability</w:t>
            </w:r>
            <w:r w:rsidR="00405406" w:rsidRPr="00041F1A">
              <w:rPr>
                <w:rFonts w:eastAsia="Calibri"/>
              </w:rPr>
              <w:t xml:space="preserve"> of</w:t>
            </w:r>
            <w:r w:rsidR="0038240E" w:rsidRPr="00041F1A">
              <w:rPr>
                <w:rFonts w:eastAsia="Calibri"/>
              </w:rPr>
              <w:t xml:space="preserve"> </w:t>
            </w:r>
            <w:r w:rsidR="00405406" w:rsidRPr="00041F1A">
              <w:rPr>
                <w:rFonts w:eastAsia="Calibri"/>
              </w:rPr>
              <w:t>i</w:t>
            </w:r>
            <w:r w:rsidR="00405406" w:rsidRPr="00041F1A">
              <w:rPr>
                <w:rFonts w:eastAsia="Calibri"/>
                <w:color w:val="000000"/>
              </w:rPr>
              <w:t>ndependent sector providers, which supply 100% of care home and domiciliary care services in scope,</w:t>
            </w:r>
            <w:r w:rsidR="0038240E" w:rsidRPr="00041F1A">
              <w:rPr>
                <w:rFonts w:eastAsia="Calibri"/>
              </w:rPr>
              <w:t xml:space="preserve"> </w:t>
            </w:r>
            <w:r w:rsidR="00C64A38" w:rsidRPr="00041F1A">
              <w:rPr>
                <w:rFonts w:eastAsia="Calibri"/>
              </w:rPr>
              <w:t>is</w:t>
            </w:r>
            <w:r w:rsidR="00DA0533" w:rsidRPr="00041F1A">
              <w:rPr>
                <w:rFonts w:eastAsia="Calibri"/>
              </w:rPr>
              <w:t xml:space="preserve"> access </w:t>
            </w:r>
            <w:r w:rsidR="00C361EC" w:rsidRPr="00041F1A">
              <w:rPr>
                <w:rFonts w:eastAsia="Calibri"/>
              </w:rPr>
              <w:t xml:space="preserve">to sufficient </w:t>
            </w:r>
            <w:r w:rsidR="00501DB1" w:rsidRPr="00041F1A">
              <w:rPr>
                <w:rFonts w:eastAsia="Calibri"/>
              </w:rPr>
              <w:t>skilled labour</w:t>
            </w:r>
            <w:r w:rsidR="00E73F6F" w:rsidRPr="00041F1A">
              <w:rPr>
                <w:rFonts w:eastAsia="Calibri"/>
              </w:rPr>
              <w:t xml:space="preserve"> at affordable pay rates</w:t>
            </w:r>
            <w:r w:rsidRPr="00041F1A">
              <w:rPr>
                <w:rFonts w:eastAsia="Calibri"/>
              </w:rPr>
              <w:t>. This is</w:t>
            </w:r>
            <w:r w:rsidR="003C4A5E" w:rsidRPr="00041F1A">
              <w:rPr>
                <w:rFonts w:eastAsia="Calibri"/>
              </w:rPr>
              <w:t xml:space="preserve"> </w:t>
            </w:r>
            <w:r w:rsidRPr="00041F1A">
              <w:rPr>
                <w:rFonts w:eastAsia="Calibri"/>
              </w:rPr>
              <w:t>compounded</w:t>
            </w:r>
            <w:r w:rsidR="00DA0533" w:rsidRPr="00041F1A">
              <w:rPr>
                <w:rFonts w:eastAsia="Calibri"/>
              </w:rPr>
              <w:t xml:space="preserve"> by un</w:t>
            </w:r>
            <w:r w:rsidR="00A67E6E" w:rsidRPr="00041F1A">
              <w:rPr>
                <w:rFonts w:eastAsia="Calibri"/>
              </w:rPr>
              <w:t>certainty</w:t>
            </w:r>
            <w:r w:rsidR="00DA0533" w:rsidRPr="00041F1A">
              <w:rPr>
                <w:rFonts w:eastAsia="Calibri"/>
              </w:rPr>
              <w:t xml:space="preserve"> and price</w:t>
            </w:r>
            <w:r w:rsidR="00C64A38" w:rsidRPr="00041F1A">
              <w:rPr>
                <w:rFonts w:eastAsia="Calibri"/>
              </w:rPr>
              <w:t xml:space="preserve"> inflation </w:t>
            </w:r>
            <w:r w:rsidR="00DA0533" w:rsidRPr="00041F1A">
              <w:rPr>
                <w:rFonts w:eastAsia="Calibri"/>
              </w:rPr>
              <w:t xml:space="preserve">in other more minor elements of </w:t>
            </w:r>
            <w:r w:rsidR="00C64A38" w:rsidRPr="00041F1A">
              <w:rPr>
                <w:rFonts w:eastAsia="Calibri"/>
              </w:rPr>
              <w:t xml:space="preserve">providers’ supply chains, such as energy and insurance. </w:t>
            </w:r>
            <w:r w:rsidR="003C4A5E" w:rsidRPr="00041F1A">
              <w:rPr>
                <w:rFonts w:eastAsia="Calibri"/>
              </w:rPr>
              <w:t xml:space="preserve"> </w:t>
            </w:r>
          </w:p>
          <w:p w14:paraId="55560D19" w14:textId="77777777" w:rsidR="00A67E6E" w:rsidRPr="00041F1A" w:rsidRDefault="00A67E6E">
            <w:pPr>
              <w:spacing w:line="240" w:lineRule="auto"/>
              <w:rPr>
                <w:rFonts w:eastAsia="Calibri"/>
              </w:rPr>
            </w:pPr>
          </w:p>
          <w:p w14:paraId="244ADBAD" w14:textId="14C9EEEA" w:rsidR="00414B2E" w:rsidRPr="00041F1A" w:rsidRDefault="00491A45">
            <w:pPr>
              <w:spacing w:line="240" w:lineRule="auto"/>
              <w:rPr>
                <w:rFonts w:eastAsia="Calibri"/>
                <w:color w:val="000000"/>
              </w:rPr>
            </w:pPr>
            <w:r w:rsidRPr="00041F1A">
              <w:rPr>
                <w:rFonts w:eastAsia="Calibri"/>
              </w:rPr>
              <w:t>In common with all other council areas in England, care provid</w:t>
            </w:r>
            <w:r w:rsidR="00D12378" w:rsidRPr="00041F1A">
              <w:rPr>
                <w:rFonts w:eastAsia="Calibri"/>
              </w:rPr>
              <w:t xml:space="preserve">ers in Sheffield are experiencing major workforce challenges in terms of recruitment and retention, staff turnover and vacancies. </w:t>
            </w:r>
            <w:r w:rsidR="00A67E6E" w:rsidRPr="00041F1A">
              <w:rPr>
                <w:rFonts w:eastAsia="Calibri"/>
              </w:rPr>
              <w:t xml:space="preserve">While the Yorkshire and Humber region rates below the English average in indicators of workforce stress, the absolute levels of stress are nevertheless high.  </w:t>
            </w:r>
            <w:r w:rsidR="003C4A5E" w:rsidRPr="00041F1A">
              <w:rPr>
                <w:rFonts w:eastAsia="Calibri"/>
              </w:rPr>
              <w:t xml:space="preserve">Skills for Care data from August 2021 </w:t>
            </w:r>
            <w:r w:rsidR="000F2A7D" w:rsidRPr="00041F1A">
              <w:rPr>
                <w:rFonts w:eastAsia="Calibri"/>
              </w:rPr>
              <w:t>show</w:t>
            </w:r>
            <w:r w:rsidR="00A67E6E" w:rsidRPr="00041F1A">
              <w:rPr>
                <w:rFonts w:eastAsia="Calibri"/>
              </w:rPr>
              <w:t xml:space="preserve"> </w:t>
            </w:r>
            <w:r w:rsidR="003C4A5E" w:rsidRPr="00041F1A">
              <w:rPr>
                <w:rFonts w:eastAsia="Calibri"/>
              </w:rPr>
              <w:t xml:space="preserve">a vacancy rate of </w:t>
            </w:r>
            <w:r w:rsidR="000F2A7D" w:rsidRPr="00041F1A">
              <w:rPr>
                <w:rFonts w:eastAsia="Calibri"/>
              </w:rPr>
              <w:t>5</w:t>
            </w:r>
            <w:r w:rsidR="003C4A5E" w:rsidRPr="00041F1A">
              <w:rPr>
                <w:rFonts w:eastAsia="Calibri"/>
              </w:rPr>
              <w:t xml:space="preserve">% in adult social care (England: 9%) and a staff turnover rate of </w:t>
            </w:r>
            <w:r w:rsidR="000F2A7D" w:rsidRPr="00041F1A">
              <w:rPr>
                <w:rFonts w:eastAsia="Calibri"/>
              </w:rPr>
              <w:t>29</w:t>
            </w:r>
            <w:r w:rsidR="003C4A5E" w:rsidRPr="00041F1A">
              <w:rPr>
                <w:rFonts w:eastAsia="Calibri"/>
              </w:rPr>
              <w:t xml:space="preserve">% a year (England: 37%). </w:t>
            </w:r>
            <w:r w:rsidR="00A67E6E" w:rsidRPr="00041F1A">
              <w:rPr>
                <w:rFonts w:eastAsia="Calibri"/>
              </w:rPr>
              <w:t xml:space="preserve">The </w:t>
            </w:r>
            <w:r w:rsidR="00815692" w:rsidRPr="00041F1A">
              <w:rPr>
                <w:rFonts w:eastAsia="Calibri"/>
              </w:rPr>
              <w:t>position is</w:t>
            </w:r>
            <w:r w:rsidR="00A67E6E" w:rsidRPr="00041F1A">
              <w:rPr>
                <w:rFonts w:eastAsia="Calibri"/>
              </w:rPr>
              <w:t xml:space="preserve"> likely to have</w:t>
            </w:r>
            <w:r w:rsidR="00815692" w:rsidRPr="00041F1A">
              <w:rPr>
                <w:rFonts w:eastAsia="Calibri"/>
              </w:rPr>
              <w:t xml:space="preserve"> deteriorated</w:t>
            </w:r>
            <w:r w:rsidR="00A67E6E" w:rsidRPr="00041F1A">
              <w:rPr>
                <w:rFonts w:eastAsia="Calibri"/>
              </w:rPr>
              <w:t xml:space="preserve"> in the year since. </w:t>
            </w:r>
            <w:r w:rsidR="000F2A7D" w:rsidRPr="00041F1A">
              <w:rPr>
                <w:rFonts w:eastAsia="Calibri"/>
              </w:rPr>
              <w:t xml:space="preserve">Elevated staff turnover and vacancy </w:t>
            </w:r>
            <w:r w:rsidR="00E73F6F" w:rsidRPr="00041F1A">
              <w:rPr>
                <w:rFonts w:eastAsia="Calibri"/>
              </w:rPr>
              <w:t>r</w:t>
            </w:r>
            <w:r w:rsidR="000F2A7D" w:rsidRPr="00041F1A">
              <w:rPr>
                <w:rFonts w:eastAsia="Calibri"/>
              </w:rPr>
              <w:t>ates</w:t>
            </w:r>
            <w:r w:rsidR="00D12378" w:rsidRPr="00041F1A">
              <w:rPr>
                <w:rFonts w:eastAsia="Calibri"/>
              </w:rPr>
              <w:t xml:space="preserve"> arise from </w:t>
            </w:r>
            <w:r w:rsidR="00295CF5" w:rsidRPr="00041F1A">
              <w:rPr>
                <w:rFonts w:eastAsia="Calibri"/>
              </w:rPr>
              <w:t xml:space="preserve">long-established </w:t>
            </w:r>
            <w:r w:rsidR="00D12378" w:rsidRPr="00041F1A">
              <w:rPr>
                <w:rFonts w:eastAsia="Calibri"/>
              </w:rPr>
              <w:t xml:space="preserve">factors including </w:t>
            </w:r>
            <w:r w:rsidR="00AA2F9A" w:rsidRPr="00041F1A">
              <w:rPr>
                <w:rFonts w:eastAsia="Calibri"/>
              </w:rPr>
              <w:t>unattractive</w:t>
            </w:r>
            <w:r w:rsidR="00D12378" w:rsidRPr="00041F1A">
              <w:rPr>
                <w:rFonts w:eastAsia="Calibri"/>
              </w:rPr>
              <w:t xml:space="preserve"> pay</w:t>
            </w:r>
            <w:r w:rsidR="00AA2F9A" w:rsidRPr="00041F1A">
              <w:rPr>
                <w:rFonts w:eastAsia="Calibri"/>
              </w:rPr>
              <w:t xml:space="preserve"> and terms of employment, low status, and undeveloped career pathways. Long-term issues have been exacerbated in the last year by Brexit, </w:t>
            </w:r>
            <w:r w:rsidR="00920458" w:rsidRPr="00041F1A">
              <w:rPr>
                <w:rFonts w:eastAsia="Calibri"/>
              </w:rPr>
              <w:t xml:space="preserve">limitations </w:t>
            </w:r>
            <w:r w:rsidR="00920458" w:rsidRPr="00041F1A">
              <w:rPr>
                <w:rFonts w:eastAsia="Calibri"/>
                <w:color w:val="000000"/>
              </w:rPr>
              <w:t xml:space="preserve">on </w:t>
            </w:r>
            <w:r w:rsidR="00AA2F9A" w:rsidRPr="00041F1A">
              <w:rPr>
                <w:rFonts w:eastAsia="Calibri"/>
                <w:color w:val="000000"/>
              </w:rPr>
              <w:t>immigration and general labour shortages as the economy emerged from Covid, leading to a candidates’ market in which social care finds it difficult to compete</w:t>
            </w:r>
            <w:r w:rsidR="00295CF5" w:rsidRPr="00041F1A">
              <w:rPr>
                <w:rFonts w:eastAsia="Calibri"/>
                <w:color w:val="000000"/>
              </w:rPr>
              <w:t xml:space="preserve"> with retail, </w:t>
            </w:r>
            <w:proofErr w:type="gramStart"/>
            <w:r w:rsidR="00295CF5" w:rsidRPr="00041F1A">
              <w:rPr>
                <w:rFonts w:eastAsia="Calibri"/>
                <w:color w:val="000000"/>
              </w:rPr>
              <w:t>hospitality</w:t>
            </w:r>
            <w:proofErr w:type="gramEnd"/>
            <w:r w:rsidR="00295CF5" w:rsidRPr="00041F1A">
              <w:rPr>
                <w:rFonts w:eastAsia="Calibri"/>
                <w:color w:val="000000"/>
              </w:rPr>
              <w:t xml:space="preserve"> and other low-pay sectors</w:t>
            </w:r>
            <w:r w:rsidR="00AA2F9A" w:rsidRPr="00041F1A">
              <w:rPr>
                <w:rFonts w:eastAsia="Calibri"/>
                <w:color w:val="000000"/>
              </w:rPr>
              <w:t xml:space="preserve">. Workforce issues impact across the board on the delivery </w:t>
            </w:r>
            <w:r w:rsidR="00295CF5" w:rsidRPr="00041F1A">
              <w:rPr>
                <w:rFonts w:eastAsia="Calibri"/>
                <w:color w:val="000000"/>
              </w:rPr>
              <w:t xml:space="preserve">and effective capacity </w:t>
            </w:r>
            <w:r w:rsidR="00AA2F9A" w:rsidRPr="00041F1A">
              <w:rPr>
                <w:rFonts w:eastAsia="Calibri"/>
                <w:color w:val="000000"/>
              </w:rPr>
              <w:t>of both care home and domiciliary care services</w:t>
            </w:r>
            <w:r w:rsidR="00295CF5" w:rsidRPr="00041F1A">
              <w:rPr>
                <w:rFonts w:eastAsia="Calibri"/>
                <w:color w:val="000000"/>
              </w:rPr>
              <w:t xml:space="preserve">. </w:t>
            </w:r>
            <w:r w:rsidR="001D1ECB" w:rsidRPr="00041F1A">
              <w:rPr>
                <w:rFonts w:eastAsia="Calibri"/>
                <w:color w:val="000000"/>
              </w:rPr>
              <w:t>S</w:t>
            </w:r>
            <w:r w:rsidR="00295CF5" w:rsidRPr="00041F1A">
              <w:rPr>
                <w:rFonts w:eastAsia="Calibri"/>
                <w:color w:val="000000"/>
              </w:rPr>
              <w:t>hortages</w:t>
            </w:r>
            <w:r w:rsidR="00AA2F9A" w:rsidRPr="00041F1A">
              <w:rPr>
                <w:rFonts w:eastAsia="Calibri"/>
                <w:color w:val="000000"/>
              </w:rPr>
              <w:t xml:space="preserve"> may constrain the </w:t>
            </w:r>
            <w:r w:rsidR="009D3456" w:rsidRPr="00041F1A">
              <w:rPr>
                <w:rFonts w:eastAsia="Calibri"/>
                <w:color w:val="000000"/>
              </w:rPr>
              <w:t xml:space="preserve">ability of care providers in Sheffield to respond to demographic driven demand </w:t>
            </w:r>
            <w:r w:rsidR="00295CF5" w:rsidRPr="00041F1A">
              <w:rPr>
                <w:rFonts w:eastAsia="Calibri"/>
                <w:color w:val="000000"/>
              </w:rPr>
              <w:t>growth in the future.</w:t>
            </w:r>
            <w:r w:rsidR="00920458" w:rsidRPr="00041F1A">
              <w:rPr>
                <w:rFonts w:eastAsia="Calibri"/>
                <w:color w:val="000000"/>
              </w:rPr>
              <w:t xml:space="preserve"> </w:t>
            </w:r>
          </w:p>
          <w:p w14:paraId="602D3D15" w14:textId="77777777" w:rsidR="00414B2E" w:rsidRPr="00041F1A" w:rsidRDefault="00414B2E">
            <w:pPr>
              <w:spacing w:line="240" w:lineRule="auto"/>
              <w:rPr>
                <w:rFonts w:eastAsia="Calibri"/>
                <w:color w:val="000000"/>
              </w:rPr>
            </w:pPr>
          </w:p>
          <w:p w14:paraId="6FED141B" w14:textId="426D1B46" w:rsidR="00491A45" w:rsidRPr="00041F1A" w:rsidRDefault="00405406">
            <w:pPr>
              <w:spacing w:line="240" w:lineRule="auto"/>
              <w:rPr>
                <w:rFonts w:eastAsia="Calibri"/>
                <w:color w:val="000000"/>
              </w:rPr>
            </w:pPr>
            <w:r w:rsidRPr="00041F1A">
              <w:rPr>
                <w:rFonts w:eastAsia="Calibri"/>
                <w:color w:val="000000"/>
              </w:rPr>
              <w:t>Limit</w:t>
            </w:r>
            <w:r w:rsidR="00A67E6E" w:rsidRPr="00041F1A">
              <w:rPr>
                <w:rFonts w:eastAsia="Calibri"/>
                <w:color w:val="000000"/>
              </w:rPr>
              <w:t>ed</w:t>
            </w:r>
            <w:r w:rsidRPr="00041F1A">
              <w:rPr>
                <w:rFonts w:eastAsia="Calibri"/>
                <w:color w:val="000000"/>
              </w:rPr>
              <w:t xml:space="preserve"> p</w:t>
            </w:r>
            <w:r w:rsidR="00C361EC" w:rsidRPr="00041F1A">
              <w:rPr>
                <w:rFonts w:eastAsia="Calibri"/>
                <w:color w:val="000000"/>
              </w:rPr>
              <w:t>ublic sector f</w:t>
            </w:r>
            <w:r w:rsidR="00920458" w:rsidRPr="00041F1A">
              <w:rPr>
                <w:rFonts w:eastAsia="Calibri"/>
                <w:color w:val="000000"/>
              </w:rPr>
              <w:t>unding</w:t>
            </w:r>
            <w:r w:rsidR="00C361EC" w:rsidRPr="00041F1A">
              <w:rPr>
                <w:rFonts w:eastAsia="Calibri"/>
                <w:color w:val="000000"/>
              </w:rPr>
              <w:t>, which accounts for 43% of market value,</w:t>
            </w:r>
            <w:r w:rsidR="00920458" w:rsidRPr="00041F1A">
              <w:rPr>
                <w:rFonts w:eastAsia="Calibri"/>
                <w:color w:val="000000"/>
              </w:rPr>
              <w:t xml:space="preserve"> </w:t>
            </w:r>
            <w:r w:rsidR="001D1ECB" w:rsidRPr="00041F1A">
              <w:rPr>
                <w:rFonts w:eastAsia="Calibri"/>
                <w:color w:val="000000"/>
              </w:rPr>
              <w:t>is the other key factor. This and</w:t>
            </w:r>
            <w:r w:rsidR="00920458" w:rsidRPr="00041F1A">
              <w:rPr>
                <w:rFonts w:eastAsia="Calibri"/>
                <w:color w:val="000000"/>
              </w:rPr>
              <w:t xml:space="preserve"> other sustainability issues are considered </w:t>
            </w:r>
            <w:r w:rsidR="001D1ECB" w:rsidRPr="00041F1A">
              <w:rPr>
                <w:rFonts w:eastAsia="Calibri"/>
                <w:color w:val="000000"/>
              </w:rPr>
              <w:t xml:space="preserve">for the </w:t>
            </w:r>
            <w:r w:rsidR="00920458" w:rsidRPr="00041F1A">
              <w:rPr>
                <w:rFonts w:eastAsia="Calibri"/>
                <w:color w:val="000000"/>
              </w:rPr>
              <w:t>care home and domiciliary care markets</w:t>
            </w:r>
            <w:r w:rsidR="001D1ECB" w:rsidRPr="00041F1A">
              <w:rPr>
                <w:rFonts w:eastAsia="Calibri"/>
                <w:color w:val="000000"/>
              </w:rPr>
              <w:t xml:space="preserve"> separately in the following sections</w:t>
            </w:r>
            <w:r w:rsidR="00C361EC" w:rsidRPr="00041F1A">
              <w:rPr>
                <w:rFonts w:eastAsia="Calibri"/>
                <w:color w:val="000000"/>
              </w:rPr>
              <w:t xml:space="preserve">. </w:t>
            </w:r>
          </w:p>
          <w:p w14:paraId="064E19B1" w14:textId="7D3C4E06" w:rsidR="00AA2F9A" w:rsidRPr="00041F1A" w:rsidRDefault="00AA2F9A">
            <w:pPr>
              <w:spacing w:line="240" w:lineRule="auto"/>
              <w:rPr>
                <w:rFonts w:eastAsia="Calibri"/>
                <w:color w:val="000000"/>
              </w:rPr>
            </w:pPr>
          </w:p>
          <w:p w14:paraId="36FA8CD1" w14:textId="6B925DD7" w:rsidR="00731897" w:rsidRPr="00041F1A" w:rsidRDefault="00C361EC">
            <w:pPr>
              <w:spacing w:line="240" w:lineRule="auto"/>
              <w:rPr>
                <w:color w:val="000000"/>
              </w:rPr>
            </w:pPr>
            <w:r w:rsidRPr="00041F1A">
              <w:rPr>
                <w:rFonts w:eastAsia="Calibri"/>
                <w:color w:val="000000"/>
              </w:rPr>
              <w:t>Sheffield City</w:t>
            </w:r>
            <w:r w:rsidR="0070324C" w:rsidRPr="00041F1A">
              <w:rPr>
                <w:rFonts w:eastAsia="Calibri"/>
                <w:color w:val="000000"/>
              </w:rPr>
              <w:t xml:space="preserve"> Council</w:t>
            </w:r>
            <w:r w:rsidR="00F6460B" w:rsidRPr="00041F1A">
              <w:rPr>
                <w:rFonts w:eastAsia="Calibri"/>
                <w:color w:val="000000"/>
              </w:rPr>
              <w:t xml:space="preserve"> is a major, but not a dominant </w:t>
            </w:r>
            <w:r w:rsidR="00E73F6F" w:rsidRPr="00041F1A">
              <w:rPr>
                <w:rFonts w:eastAsia="Calibri"/>
                <w:color w:val="000000"/>
              </w:rPr>
              <w:t>commissioner</w:t>
            </w:r>
            <w:r w:rsidR="00F6460B" w:rsidRPr="00041F1A">
              <w:rPr>
                <w:rFonts w:eastAsia="Calibri"/>
                <w:color w:val="000000"/>
              </w:rPr>
              <w:t>, in the mixed, local social care market. In this summary market sustainability plan, it is important to recognise that the council’s</w:t>
            </w:r>
            <w:r w:rsidR="0070324C" w:rsidRPr="00041F1A">
              <w:rPr>
                <w:rFonts w:eastAsia="Calibri"/>
                <w:color w:val="000000"/>
              </w:rPr>
              <w:t xml:space="preserve"> ability to shape </w:t>
            </w:r>
            <w:r w:rsidRPr="00041F1A">
              <w:rPr>
                <w:rFonts w:eastAsia="Calibri"/>
                <w:color w:val="000000"/>
              </w:rPr>
              <w:t xml:space="preserve">and sustain </w:t>
            </w:r>
            <w:r w:rsidR="00F6460B" w:rsidRPr="00041F1A">
              <w:rPr>
                <w:rFonts w:eastAsia="Calibri"/>
                <w:color w:val="000000"/>
              </w:rPr>
              <w:t>the market</w:t>
            </w:r>
            <w:r w:rsidR="0070324C" w:rsidRPr="00041F1A">
              <w:rPr>
                <w:rFonts w:eastAsia="Calibri"/>
                <w:color w:val="000000"/>
              </w:rPr>
              <w:t xml:space="preserve"> is constrained by factors over which it has no, or limited</w:t>
            </w:r>
            <w:r w:rsidR="00F6460B" w:rsidRPr="00041F1A">
              <w:rPr>
                <w:rFonts w:eastAsia="Calibri"/>
                <w:color w:val="000000"/>
              </w:rPr>
              <w:t>,</w:t>
            </w:r>
            <w:r w:rsidR="0070324C" w:rsidRPr="00041F1A">
              <w:rPr>
                <w:rFonts w:eastAsia="Calibri"/>
                <w:color w:val="000000"/>
              </w:rPr>
              <w:t xml:space="preserve"> direct influence</w:t>
            </w:r>
            <w:r w:rsidR="00F6460B" w:rsidRPr="00041F1A">
              <w:rPr>
                <w:rFonts w:eastAsia="Calibri"/>
                <w:color w:val="000000"/>
              </w:rPr>
              <w:t>, as</w:t>
            </w:r>
            <w:r w:rsidR="0070324C" w:rsidRPr="00041F1A">
              <w:rPr>
                <w:rFonts w:eastAsia="Calibri"/>
                <w:color w:val="000000"/>
              </w:rPr>
              <w:t xml:space="preserve"> set out in </w:t>
            </w:r>
            <w:r w:rsidR="00F6460B" w:rsidRPr="00041F1A">
              <w:rPr>
                <w:rFonts w:eastAsia="Calibri"/>
                <w:color w:val="000000"/>
              </w:rPr>
              <w:t xml:space="preserve">Appendix </w:t>
            </w:r>
            <w:r w:rsidR="0070324C" w:rsidRPr="00041F1A">
              <w:rPr>
                <w:rFonts w:eastAsia="Calibri"/>
                <w:color w:val="000000"/>
              </w:rPr>
              <w:t xml:space="preserve">Table </w:t>
            </w:r>
            <w:r w:rsidR="00F6460B" w:rsidRPr="00041F1A">
              <w:rPr>
                <w:rFonts w:eastAsia="Calibri"/>
                <w:color w:val="000000"/>
              </w:rPr>
              <w:t>1</w:t>
            </w:r>
            <w:r w:rsidR="0070324C" w:rsidRPr="00041F1A">
              <w:rPr>
                <w:rFonts w:eastAsia="Calibri"/>
                <w:color w:val="000000"/>
              </w:rPr>
              <w:t>.</w:t>
            </w:r>
            <w:r w:rsidR="00F6460B" w:rsidRPr="00041F1A">
              <w:rPr>
                <w:rFonts w:eastAsia="Calibri"/>
                <w:color w:val="000000"/>
              </w:rPr>
              <w:t xml:space="preserve"> This applies particularly to key workforce issues.</w:t>
            </w:r>
          </w:p>
          <w:p w14:paraId="633222C8" w14:textId="3FD10BC2" w:rsidR="00731897" w:rsidRDefault="00731897">
            <w:pPr>
              <w:spacing w:line="240" w:lineRule="auto"/>
              <w:rPr>
                <w:rFonts w:eastAsia="Calibri"/>
                <w:color w:val="000000"/>
              </w:rPr>
            </w:pPr>
          </w:p>
          <w:p w14:paraId="51BCDE6D" w14:textId="77777777" w:rsidR="00041F1A" w:rsidRPr="00041F1A" w:rsidRDefault="00041F1A">
            <w:pPr>
              <w:spacing w:line="240" w:lineRule="auto"/>
              <w:rPr>
                <w:rFonts w:eastAsia="Calibri"/>
                <w:color w:val="000000"/>
              </w:rPr>
            </w:pPr>
          </w:p>
          <w:p w14:paraId="092D3B56" w14:textId="3B02C1CA" w:rsidR="00B64EE6" w:rsidRPr="00041F1A" w:rsidRDefault="00B64EE6">
            <w:pPr>
              <w:spacing w:line="240" w:lineRule="auto"/>
              <w:rPr>
                <w:rFonts w:eastAsia="Calibri"/>
                <w:b/>
                <w:bCs/>
                <w:color w:val="000000"/>
              </w:rPr>
            </w:pPr>
            <w:r w:rsidRPr="00041F1A">
              <w:rPr>
                <w:rFonts w:eastAsia="Calibri"/>
                <w:b/>
                <w:bCs/>
                <w:color w:val="000000"/>
              </w:rPr>
              <w:t>How have we engaged with the market</w:t>
            </w:r>
          </w:p>
          <w:p w14:paraId="73D143DD" w14:textId="25EDCBFD" w:rsidR="00B64EE6" w:rsidRPr="00041F1A" w:rsidRDefault="00B64EE6">
            <w:pPr>
              <w:spacing w:line="240" w:lineRule="auto"/>
              <w:rPr>
                <w:rFonts w:eastAsia="Calibri"/>
                <w:color w:val="000000"/>
              </w:rPr>
            </w:pPr>
          </w:p>
          <w:p w14:paraId="2EB76574" w14:textId="26FA4096" w:rsidR="00B64EE6" w:rsidRPr="00041F1A" w:rsidRDefault="00B64EE6">
            <w:pPr>
              <w:spacing w:line="240" w:lineRule="auto"/>
              <w:rPr>
                <w:rFonts w:eastAsia="Calibri"/>
                <w:color w:val="000000"/>
              </w:rPr>
            </w:pPr>
            <w:r w:rsidRPr="00041F1A">
              <w:rPr>
                <w:rFonts w:eastAsia="Calibri"/>
                <w:color w:val="000000"/>
              </w:rPr>
              <w:t>To engage with the market and encourage responses to the FCoC exercise we have employed a variety of methods including:</w:t>
            </w:r>
          </w:p>
          <w:p w14:paraId="674E5650" w14:textId="77777777" w:rsidR="00B64EE6" w:rsidRPr="00041F1A" w:rsidRDefault="00B64EE6">
            <w:pPr>
              <w:spacing w:line="240" w:lineRule="auto"/>
              <w:rPr>
                <w:rFonts w:eastAsia="Calibri"/>
                <w:color w:val="000000"/>
              </w:rPr>
            </w:pPr>
          </w:p>
          <w:p w14:paraId="2410441F" w14:textId="1C286D26" w:rsidR="00B64EE6" w:rsidRPr="00041F1A" w:rsidRDefault="00B64EE6" w:rsidP="00041F1A">
            <w:pPr>
              <w:pStyle w:val="ListParagraph"/>
              <w:numPr>
                <w:ilvl w:val="0"/>
                <w:numId w:val="6"/>
              </w:numPr>
              <w:spacing w:line="240" w:lineRule="auto"/>
              <w:rPr>
                <w:rFonts w:eastAsia="Calibri"/>
                <w:color w:val="000000"/>
              </w:rPr>
            </w:pPr>
            <w:r w:rsidRPr="00041F1A">
              <w:rPr>
                <w:rFonts w:eastAsia="Calibri"/>
                <w:color w:val="000000"/>
              </w:rPr>
              <w:t xml:space="preserve">Regular engagement with Sheffield Care Association </w:t>
            </w:r>
          </w:p>
          <w:p w14:paraId="59E3FFB9" w14:textId="45DA0FD1" w:rsidR="00B64EE6" w:rsidRPr="00041F1A" w:rsidRDefault="00B64EE6" w:rsidP="00041F1A">
            <w:pPr>
              <w:pStyle w:val="ListParagraph"/>
              <w:numPr>
                <w:ilvl w:val="0"/>
                <w:numId w:val="6"/>
              </w:numPr>
              <w:spacing w:line="240" w:lineRule="auto"/>
              <w:rPr>
                <w:rFonts w:eastAsia="Calibri"/>
                <w:color w:val="000000"/>
              </w:rPr>
            </w:pPr>
            <w:r w:rsidRPr="00041F1A">
              <w:rPr>
                <w:rFonts w:eastAsia="Calibri"/>
                <w:color w:val="000000"/>
              </w:rPr>
              <w:t xml:space="preserve">Regular communications to promote and </w:t>
            </w:r>
            <w:proofErr w:type="gramStart"/>
            <w:r w:rsidRPr="00041F1A">
              <w:rPr>
                <w:rFonts w:eastAsia="Calibri"/>
                <w:color w:val="000000"/>
              </w:rPr>
              <w:t>advise</w:t>
            </w:r>
            <w:proofErr w:type="gramEnd"/>
          </w:p>
          <w:p w14:paraId="4D78AECD" w14:textId="16F123A9" w:rsidR="00B64EE6" w:rsidRPr="00041F1A" w:rsidRDefault="00B64EE6" w:rsidP="00041F1A">
            <w:pPr>
              <w:pStyle w:val="ListParagraph"/>
              <w:numPr>
                <w:ilvl w:val="0"/>
                <w:numId w:val="6"/>
              </w:numPr>
              <w:spacing w:line="240" w:lineRule="auto"/>
              <w:rPr>
                <w:rFonts w:eastAsia="Calibri"/>
                <w:color w:val="000000"/>
              </w:rPr>
            </w:pPr>
            <w:r w:rsidRPr="00041F1A">
              <w:rPr>
                <w:rFonts w:eastAsia="Calibri"/>
                <w:color w:val="000000"/>
              </w:rPr>
              <w:t xml:space="preserve">Small planning group formed to plan process and choose </w:t>
            </w:r>
            <w:proofErr w:type="gramStart"/>
            <w:r w:rsidRPr="00041F1A">
              <w:rPr>
                <w:rFonts w:eastAsia="Calibri"/>
                <w:color w:val="000000"/>
              </w:rPr>
              <w:t>consultant</w:t>
            </w:r>
            <w:proofErr w:type="gramEnd"/>
          </w:p>
          <w:p w14:paraId="1ACB6A15" w14:textId="700939FF" w:rsidR="00B64EE6" w:rsidRPr="00041F1A" w:rsidRDefault="00B64EE6" w:rsidP="00041F1A">
            <w:pPr>
              <w:pStyle w:val="ListParagraph"/>
              <w:numPr>
                <w:ilvl w:val="0"/>
                <w:numId w:val="6"/>
              </w:numPr>
              <w:spacing w:line="240" w:lineRule="auto"/>
              <w:rPr>
                <w:rFonts w:eastAsia="Calibri"/>
                <w:color w:val="000000"/>
              </w:rPr>
            </w:pPr>
            <w:r w:rsidRPr="00041F1A">
              <w:rPr>
                <w:rFonts w:eastAsia="Calibri"/>
                <w:color w:val="000000"/>
              </w:rPr>
              <w:t xml:space="preserve">Contracted organization followed up with regular phone calls of </w:t>
            </w:r>
            <w:proofErr w:type="gramStart"/>
            <w:r w:rsidRPr="00041F1A">
              <w:rPr>
                <w:rFonts w:eastAsia="Calibri"/>
                <w:color w:val="000000"/>
              </w:rPr>
              <w:t>support</w:t>
            </w:r>
            <w:proofErr w:type="gramEnd"/>
          </w:p>
          <w:p w14:paraId="44642BE1" w14:textId="740ED4F6" w:rsidR="00B64EE6" w:rsidRPr="00041F1A" w:rsidRDefault="00B64EE6" w:rsidP="00041F1A">
            <w:pPr>
              <w:pStyle w:val="ListParagraph"/>
              <w:numPr>
                <w:ilvl w:val="0"/>
                <w:numId w:val="6"/>
              </w:numPr>
              <w:spacing w:line="240" w:lineRule="auto"/>
              <w:rPr>
                <w:rFonts w:eastAsia="Calibri"/>
                <w:color w:val="000000"/>
              </w:rPr>
            </w:pPr>
            <w:r w:rsidRPr="00041F1A">
              <w:rPr>
                <w:rFonts w:eastAsia="Calibri"/>
                <w:color w:val="000000"/>
              </w:rPr>
              <w:t xml:space="preserve">Targeted follow up </w:t>
            </w:r>
            <w:proofErr w:type="gramStart"/>
            <w:r w:rsidRPr="00041F1A">
              <w:rPr>
                <w:rFonts w:eastAsia="Calibri"/>
                <w:color w:val="000000"/>
              </w:rPr>
              <w:t>calls</w:t>
            </w:r>
            <w:proofErr w:type="gramEnd"/>
          </w:p>
          <w:p w14:paraId="728A04C3" w14:textId="5FB673DF" w:rsidR="00B64EE6" w:rsidRDefault="00B9685A" w:rsidP="00041F1A">
            <w:pPr>
              <w:pStyle w:val="ListParagraph"/>
              <w:numPr>
                <w:ilvl w:val="0"/>
                <w:numId w:val="6"/>
              </w:numPr>
              <w:spacing w:line="240" w:lineRule="auto"/>
              <w:rPr>
                <w:rFonts w:eastAsia="Calibri"/>
                <w:color w:val="000000"/>
              </w:rPr>
            </w:pPr>
            <w:r w:rsidRPr="00041F1A">
              <w:rPr>
                <w:rFonts w:eastAsia="Calibri"/>
                <w:color w:val="000000"/>
              </w:rPr>
              <w:t>Program</w:t>
            </w:r>
            <w:r w:rsidR="00B64EE6" w:rsidRPr="00041F1A">
              <w:rPr>
                <w:rFonts w:eastAsia="Calibri"/>
                <w:color w:val="000000"/>
              </w:rPr>
              <w:t xml:space="preserve"> of engagement with homecare providers to remodel provision including the fair cost of care.</w:t>
            </w:r>
          </w:p>
          <w:p w14:paraId="7588228D" w14:textId="5E9A5DBD" w:rsidR="00041F1A" w:rsidRPr="00041F1A" w:rsidRDefault="00041F1A" w:rsidP="00041F1A">
            <w:pPr>
              <w:pStyle w:val="ListParagraph"/>
              <w:numPr>
                <w:ilvl w:val="0"/>
                <w:numId w:val="6"/>
              </w:numPr>
              <w:spacing w:line="240" w:lineRule="auto"/>
              <w:rPr>
                <w:rFonts w:eastAsia="Calibri"/>
                <w:color w:val="000000"/>
              </w:rPr>
            </w:pPr>
            <w:r>
              <w:rPr>
                <w:rFonts w:eastAsia="Calibri"/>
                <w:color w:val="000000"/>
              </w:rPr>
              <w:t>Consultation with Care Homes on 23/24 Fee rates and challenges</w:t>
            </w:r>
          </w:p>
          <w:p w14:paraId="34B6DB49" w14:textId="20E2E672" w:rsidR="00B64EE6" w:rsidRDefault="00B64EE6">
            <w:pPr>
              <w:spacing w:line="240" w:lineRule="auto"/>
              <w:rPr>
                <w:rFonts w:eastAsia="Calibri"/>
                <w:color w:val="000000"/>
              </w:rPr>
            </w:pPr>
          </w:p>
          <w:p w14:paraId="3BAF76CF" w14:textId="77777777" w:rsidR="00041F1A" w:rsidRPr="00041F1A" w:rsidRDefault="00041F1A">
            <w:pPr>
              <w:spacing w:line="240" w:lineRule="auto"/>
              <w:rPr>
                <w:rFonts w:eastAsia="Calibri"/>
                <w:color w:val="000000"/>
              </w:rPr>
            </w:pPr>
          </w:p>
          <w:p w14:paraId="361B21E4" w14:textId="329E11D9" w:rsidR="00A92F2D" w:rsidRPr="00041F1A" w:rsidRDefault="00A92F2D">
            <w:pPr>
              <w:spacing w:line="240" w:lineRule="auto"/>
              <w:rPr>
                <w:rFonts w:eastAsia="Calibri"/>
                <w:b/>
                <w:bCs/>
                <w:color w:val="000000"/>
              </w:rPr>
            </w:pPr>
            <w:r w:rsidRPr="00041F1A">
              <w:rPr>
                <w:rFonts w:eastAsia="Calibri"/>
                <w:b/>
                <w:bCs/>
                <w:color w:val="000000"/>
              </w:rPr>
              <w:t>Local authority c</w:t>
            </w:r>
            <w:r w:rsidR="0070324C" w:rsidRPr="00041F1A">
              <w:rPr>
                <w:rFonts w:eastAsia="Calibri"/>
                <w:b/>
                <w:bCs/>
                <w:color w:val="000000"/>
              </w:rPr>
              <w:t>omparators</w:t>
            </w:r>
          </w:p>
          <w:p w14:paraId="30968167" w14:textId="77777777" w:rsidR="00041F1A" w:rsidRDefault="00041F1A">
            <w:pPr>
              <w:spacing w:line="240" w:lineRule="auto"/>
              <w:rPr>
                <w:rFonts w:eastAsia="Calibri"/>
                <w:color w:val="000000"/>
              </w:rPr>
            </w:pPr>
          </w:p>
          <w:p w14:paraId="7C25B523" w14:textId="77777777" w:rsidR="00041F1A" w:rsidRDefault="0070324C">
            <w:pPr>
              <w:spacing w:line="240" w:lineRule="auto"/>
              <w:rPr>
                <w:rFonts w:eastAsia="Calibri"/>
                <w:color w:val="000000"/>
              </w:rPr>
            </w:pPr>
            <w:r w:rsidRPr="00041F1A">
              <w:rPr>
                <w:rFonts w:eastAsia="Calibri"/>
                <w:color w:val="000000"/>
              </w:rPr>
              <w:t>The latest available SALT statistics</w:t>
            </w:r>
            <w:r w:rsidRPr="00041F1A">
              <w:rPr>
                <w:color w:val="000000"/>
                <w:vertAlign w:val="superscript"/>
              </w:rPr>
              <w:endnoteReference w:id="2"/>
            </w:r>
            <w:r w:rsidRPr="00041F1A">
              <w:rPr>
                <w:rFonts w:eastAsia="Calibri"/>
                <w:color w:val="000000"/>
              </w:rPr>
              <w:t xml:space="preserve">, show that </w:t>
            </w:r>
            <w:r w:rsidR="000F2BD3" w:rsidRPr="00041F1A">
              <w:rPr>
                <w:rFonts w:eastAsia="Calibri"/>
                <w:color w:val="000000"/>
              </w:rPr>
              <w:t>Sheffield</w:t>
            </w:r>
            <w:r w:rsidRPr="00041F1A">
              <w:rPr>
                <w:rFonts w:eastAsia="Calibri"/>
                <w:color w:val="000000"/>
              </w:rPr>
              <w:t>’s utilisation of</w:t>
            </w:r>
            <w:r w:rsidR="0010307D" w:rsidRPr="00041F1A">
              <w:rPr>
                <w:rFonts w:eastAsia="Calibri"/>
                <w:color w:val="000000"/>
              </w:rPr>
              <w:t xml:space="preserve"> services per 100,000 population over 65 is above the regional and national average</w:t>
            </w:r>
            <w:r w:rsidR="000F2BD3" w:rsidRPr="00041F1A">
              <w:rPr>
                <w:rFonts w:eastAsia="Calibri"/>
                <w:color w:val="000000"/>
              </w:rPr>
              <w:t>s</w:t>
            </w:r>
            <w:r w:rsidR="0010307D" w:rsidRPr="00041F1A">
              <w:rPr>
                <w:rFonts w:eastAsia="Calibri"/>
                <w:color w:val="000000"/>
              </w:rPr>
              <w:t xml:space="preserve"> for nursing and residential (65+) a</w:t>
            </w:r>
            <w:r w:rsidR="000F2BD3" w:rsidRPr="00041F1A">
              <w:rPr>
                <w:rFonts w:eastAsia="Calibri"/>
                <w:color w:val="000000"/>
              </w:rPr>
              <w:t>s well as</w:t>
            </w:r>
            <w:r w:rsidR="0010307D" w:rsidRPr="00041F1A">
              <w:rPr>
                <w:rFonts w:eastAsia="Calibri"/>
                <w:color w:val="000000"/>
              </w:rPr>
              <w:t xml:space="preserve"> domiciliary care (18+), the latter </w:t>
            </w:r>
            <w:r w:rsidRPr="00041F1A">
              <w:rPr>
                <w:rFonts w:eastAsia="Calibri"/>
                <w:color w:val="000000"/>
              </w:rPr>
              <w:t>measured by the number of adults funded through managed personal budgets</w:t>
            </w:r>
            <w:r w:rsidR="0010307D" w:rsidRPr="00041F1A">
              <w:rPr>
                <w:rFonts w:eastAsia="Calibri"/>
                <w:color w:val="000000"/>
              </w:rPr>
              <w:t xml:space="preserve">. </w:t>
            </w:r>
          </w:p>
          <w:p w14:paraId="0A628193" w14:textId="77777777" w:rsidR="00041F1A" w:rsidRDefault="00041F1A">
            <w:pPr>
              <w:spacing w:line="240" w:lineRule="auto"/>
              <w:rPr>
                <w:rFonts w:eastAsia="Calibri"/>
                <w:color w:val="000000"/>
              </w:rPr>
            </w:pPr>
          </w:p>
          <w:p w14:paraId="58A675CA" w14:textId="77777777" w:rsidR="00041F1A" w:rsidRDefault="0010307D">
            <w:pPr>
              <w:spacing w:line="240" w:lineRule="auto"/>
              <w:rPr>
                <w:rFonts w:eastAsia="Calibri"/>
                <w:color w:val="000000"/>
              </w:rPr>
            </w:pPr>
            <w:r w:rsidRPr="00041F1A">
              <w:rPr>
                <w:rFonts w:eastAsia="Calibri"/>
                <w:color w:val="000000"/>
              </w:rPr>
              <w:t xml:space="preserve">Sheffield’s high rate </w:t>
            </w:r>
            <w:r w:rsidR="000F2BD3" w:rsidRPr="00041F1A">
              <w:rPr>
                <w:rFonts w:eastAsia="Calibri"/>
                <w:color w:val="000000"/>
              </w:rPr>
              <w:t xml:space="preserve">of </w:t>
            </w:r>
            <w:r w:rsidRPr="00041F1A">
              <w:rPr>
                <w:rFonts w:eastAsia="Calibri"/>
                <w:color w:val="000000"/>
              </w:rPr>
              <w:t xml:space="preserve">council-funded social care activity is in part attributable to the city’s </w:t>
            </w:r>
            <w:r w:rsidR="007A71AB" w:rsidRPr="00041F1A">
              <w:rPr>
                <w:rFonts w:eastAsia="Calibri"/>
                <w:color w:val="000000"/>
              </w:rPr>
              <w:t xml:space="preserve">higher than average </w:t>
            </w:r>
            <w:r w:rsidRPr="00041F1A">
              <w:rPr>
                <w:rFonts w:eastAsia="Calibri"/>
                <w:color w:val="000000"/>
              </w:rPr>
              <w:t xml:space="preserve">deprivation index. </w:t>
            </w:r>
            <w:r w:rsidR="007A71AB" w:rsidRPr="00041F1A">
              <w:rPr>
                <w:rFonts w:eastAsia="Calibri"/>
                <w:color w:val="000000"/>
              </w:rPr>
              <w:t>W</w:t>
            </w:r>
            <w:r w:rsidRPr="00041F1A">
              <w:rPr>
                <w:rFonts w:eastAsia="Calibri"/>
                <w:color w:val="000000"/>
              </w:rPr>
              <w:t xml:space="preserve">hen compared with similar cities (Birmingham, Bristol, Leeds, Liverpool, Manchester. Newcastle and Nottingham), </w:t>
            </w:r>
            <w:r w:rsidR="007A71AB" w:rsidRPr="00041F1A">
              <w:rPr>
                <w:rFonts w:eastAsia="Calibri"/>
                <w:color w:val="000000"/>
              </w:rPr>
              <w:t xml:space="preserve">with similar deprivation, </w:t>
            </w:r>
            <w:r w:rsidRPr="00041F1A">
              <w:rPr>
                <w:rFonts w:eastAsia="Calibri"/>
                <w:color w:val="000000"/>
              </w:rPr>
              <w:t>Sheffield</w:t>
            </w:r>
            <w:r w:rsidR="00A92F2D" w:rsidRPr="00041F1A">
              <w:rPr>
                <w:rFonts w:eastAsia="Calibri"/>
                <w:color w:val="000000"/>
              </w:rPr>
              <w:t xml:space="preserve"> has a relatively low rate of utili</w:t>
            </w:r>
            <w:r w:rsidR="000F2BD3" w:rsidRPr="00041F1A">
              <w:rPr>
                <w:rFonts w:eastAsia="Calibri"/>
                <w:color w:val="000000"/>
              </w:rPr>
              <w:t>s</w:t>
            </w:r>
            <w:r w:rsidR="00A92F2D" w:rsidRPr="00041F1A">
              <w:rPr>
                <w:rFonts w:eastAsia="Calibri"/>
                <w:color w:val="000000"/>
              </w:rPr>
              <w:t>ation of</w:t>
            </w:r>
            <w:r w:rsidRPr="00041F1A">
              <w:rPr>
                <w:rFonts w:eastAsia="Calibri"/>
                <w:color w:val="000000"/>
              </w:rPr>
              <w:t xml:space="preserve"> </w:t>
            </w:r>
            <w:r w:rsidR="00A92F2D" w:rsidRPr="00041F1A">
              <w:rPr>
                <w:rFonts w:eastAsia="Calibri"/>
                <w:color w:val="000000"/>
              </w:rPr>
              <w:t xml:space="preserve">nursing and residential care and a relatively </w:t>
            </w:r>
            <w:r w:rsidR="000F2BD3" w:rsidRPr="00041F1A">
              <w:rPr>
                <w:rFonts w:eastAsia="Calibri"/>
                <w:color w:val="000000"/>
              </w:rPr>
              <w:t>high</w:t>
            </w:r>
            <w:r w:rsidR="00A92F2D" w:rsidRPr="00041F1A">
              <w:rPr>
                <w:rFonts w:eastAsia="Calibri"/>
                <w:color w:val="000000"/>
              </w:rPr>
              <w:t xml:space="preserve"> rate of utili</w:t>
            </w:r>
            <w:r w:rsidR="000F2BD3" w:rsidRPr="00041F1A">
              <w:rPr>
                <w:rFonts w:eastAsia="Calibri"/>
                <w:color w:val="000000"/>
              </w:rPr>
              <w:t>s</w:t>
            </w:r>
            <w:r w:rsidR="00A92F2D" w:rsidRPr="00041F1A">
              <w:rPr>
                <w:rFonts w:eastAsia="Calibri"/>
                <w:color w:val="000000"/>
              </w:rPr>
              <w:t xml:space="preserve">ation of domiciliary care. </w:t>
            </w:r>
          </w:p>
          <w:p w14:paraId="5FA1742B" w14:textId="77777777" w:rsidR="00041F1A" w:rsidRDefault="00041F1A">
            <w:pPr>
              <w:spacing w:line="240" w:lineRule="auto"/>
              <w:rPr>
                <w:rFonts w:eastAsia="Calibri"/>
                <w:color w:val="000000"/>
              </w:rPr>
            </w:pPr>
          </w:p>
          <w:p w14:paraId="17C61C18" w14:textId="77777777" w:rsidR="00041F1A" w:rsidRDefault="00A92F2D">
            <w:pPr>
              <w:spacing w:line="240" w:lineRule="auto"/>
              <w:rPr>
                <w:rFonts w:eastAsia="Calibri"/>
                <w:color w:val="000000"/>
              </w:rPr>
            </w:pPr>
            <w:r w:rsidRPr="00041F1A">
              <w:rPr>
                <w:rFonts w:eastAsia="Calibri"/>
                <w:color w:val="000000"/>
              </w:rPr>
              <w:t xml:space="preserve">Sheffield’s ratio of managed personal budget recipients to nursing/residential care placements is, at </w:t>
            </w:r>
            <w:r w:rsidR="00501DB1" w:rsidRPr="00041F1A">
              <w:rPr>
                <w:rFonts w:eastAsia="Calibri"/>
                <w:color w:val="000000"/>
              </w:rPr>
              <w:t>1.9:</w:t>
            </w:r>
            <w:r w:rsidRPr="00041F1A">
              <w:rPr>
                <w:rFonts w:eastAsia="Calibri"/>
                <w:color w:val="000000"/>
              </w:rPr>
              <w:t xml:space="preserve"> 1, the highest of all comparator</w:t>
            </w:r>
            <w:r w:rsidR="000F2BD3" w:rsidRPr="00041F1A">
              <w:rPr>
                <w:rFonts w:eastAsia="Calibri"/>
                <w:color w:val="000000"/>
              </w:rPr>
              <w:t xml:space="preserve"> authorities</w:t>
            </w:r>
            <w:r w:rsidRPr="00041F1A">
              <w:rPr>
                <w:rFonts w:eastAsia="Calibri"/>
                <w:color w:val="000000"/>
              </w:rPr>
              <w:t xml:space="preserve"> in </w:t>
            </w:r>
            <w:r w:rsidR="004A0E76" w:rsidRPr="00041F1A">
              <w:rPr>
                <w:rFonts w:eastAsia="Calibri"/>
                <w:color w:val="000000"/>
              </w:rPr>
              <w:t xml:space="preserve">Appendix </w:t>
            </w:r>
            <w:r w:rsidRPr="00041F1A">
              <w:rPr>
                <w:rFonts w:eastAsia="Calibri"/>
                <w:color w:val="000000"/>
              </w:rPr>
              <w:t xml:space="preserve">Table 2. </w:t>
            </w:r>
          </w:p>
          <w:p w14:paraId="4490F78D" w14:textId="77777777" w:rsidR="00041F1A" w:rsidRDefault="00041F1A">
            <w:pPr>
              <w:spacing w:line="240" w:lineRule="auto"/>
              <w:rPr>
                <w:rFonts w:eastAsia="Calibri"/>
                <w:color w:val="000000"/>
              </w:rPr>
            </w:pPr>
          </w:p>
          <w:p w14:paraId="156D4AB2" w14:textId="1BEF40AD" w:rsidR="00731897" w:rsidRDefault="00A92F2D">
            <w:pPr>
              <w:spacing w:line="240" w:lineRule="auto"/>
              <w:rPr>
                <w:rFonts w:eastAsia="Calibri"/>
                <w:color w:val="000000"/>
              </w:rPr>
            </w:pPr>
            <w:r w:rsidRPr="00041F1A">
              <w:rPr>
                <w:rFonts w:eastAsia="Calibri"/>
                <w:color w:val="000000"/>
              </w:rPr>
              <w:t>Sheffield City Council wishes</w:t>
            </w:r>
            <w:r w:rsidR="0070324C" w:rsidRPr="00041F1A">
              <w:rPr>
                <w:rFonts w:eastAsia="Calibri"/>
                <w:color w:val="000000"/>
              </w:rPr>
              <w:t xml:space="preserve"> </w:t>
            </w:r>
            <w:r w:rsidR="00C14AD1" w:rsidRPr="00041F1A">
              <w:rPr>
                <w:rFonts w:eastAsia="Calibri"/>
                <w:color w:val="000000"/>
              </w:rPr>
              <w:t>to continue this</w:t>
            </w:r>
            <w:r w:rsidR="0070324C" w:rsidRPr="00041F1A">
              <w:rPr>
                <w:rFonts w:eastAsia="Calibri"/>
                <w:color w:val="000000"/>
              </w:rPr>
              <w:t xml:space="preserve"> position of supporting as many people as possible to live in their own homes. </w:t>
            </w:r>
          </w:p>
          <w:p w14:paraId="33E2CA26" w14:textId="77777777" w:rsidR="00041F1A" w:rsidRPr="00041F1A" w:rsidRDefault="00041F1A">
            <w:pPr>
              <w:spacing w:line="240" w:lineRule="auto"/>
              <w:rPr>
                <w:rFonts w:eastAsia="Calibri"/>
                <w:color w:val="000000"/>
              </w:rPr>
            </w:pPr>
          </w:p>
          <w:p w14:paraId="0CCD3CD7" w14:textId="69E60B30" w:rsidR="000F2BD3" w:rsidRPr="00041F1A" w:rsidRDefault="000F2BD3" w:rsidP="003D6120">
            <w:pPr>
              <w:spacing w:line="240" w:lineRule="auto"/>
              <w:rPr>
                <w:color w:val="000000"/>
              </w:rPr>
            </w:pPr>
          </w:p>
        </w:tc>
      </w:tr>
      <w:tr w:rsidR="00731897" w14:paraId="31E43567"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79905A46" w14:textId="77777777" w:rsidR="00731897" w:rsidRPr="00041F1A" w:rsidRDefault="0070324C">
            <w:pPr>
              <w:spacing w:line="240" w:lineRule="auto"/>
              <w:rPr>
                <w:color w:val="000000"/>
              </w:rPr>
            </w:pPr>
            <w:r w:rsidRPr="00041F1A">
              <w:rPr>
                <w:rFonts w:eastAsia="Calibri"/>
                <w:b/>
                <w:bCs/>
                <w:color w:val="000000"/>
              </w:rPr>
              <w:lastRenderedPageBreak/>
              <w:t>1A: Assessment of current sustainability of the 65+ care home market</w:t>
            </w:r>
          </w:p>
        </w:tc>
      </w:tr>
      <w:tr w:rsidR="00731897" w:rsidRPr="003D6120" w14:paraId="50B75742" w14:textId="77777777" w:rsidTr="005F141C">
        <w:trPr>
          <w:trHeight w:val="892"/>
        </w:trPr>
        <w:tc>
          <w:tcPr>
            <w:tcW w:w="10490" w:type="dxa"/>
            <w:tcBorders>
              <w:top w:val="single" w:sz="4" w:space="0" w:color="000000"/>
              <w:bottom w:val="single" w:sz="4" w:space="0" w:color="000000"/>
            </w:tcBorders>
            <w:tcMar>
              <w:top w:w="0" w:type="dxa"/>
              <w:left w:w="108" w:type="dxa"/>
              <w:bottom w:w="0" w:type="dxa"/>
              <w:right w:w="108" w:type="dxa"/>
            </w:tcMar>
            <w:hideMark/>
          </w:tcPr>
          <w:p w14:paraId="1AE18191" w14:textId="77777777" w:rsidR="00731897" w:rsidRPr="00041F1A" w:rsidRDefault="00731897">
            <w:pPr>
              <w:spacing w:line="240" w:lineRule="auto"/>
              <w:rPr>
                <w:rFonts w:eastAsia="Calibri"/>
                <w:b/>
                <w:bCs/>
                <w:color w:val="000000"/>
              </w:rPr>
            </w:pPr>
          </w:p>
          <w:p w14:paraId="554C5321" w14:textId="49FE5EC9" w:rsidR="00414B2E" w:rsidRPr="00041F1A" w:rsidRDefault="0070324C">
            <w:pPr>
              <w:spacing w:line="240" w:lineRule="auto"/>
              <w:rPr>
                <w:rFonts w:eastAsia="Calibri"/>
                <w:b/>
                <w:bCs/>
                <w:color w:val="000000"/>
              </w:rPr>
            </w:pPr>
            <w:r w:rsidRPr="00041F1A">
              <w:rPr>
                <w:rFonts w:eastAsia="Calibri"/>
                <w:b/>
                <w:bCs/>
                <w:color w:val="000000"/>
              </w:rPr>
              <w:t>Market</w:t>
            </w:r>
            <w:r w:rsidR="00405406" w:rsidRPr="00041F1A">
              <w:rPr>
                <w:rFonts w:eastAsia="Calibri"/>
                <w:b/>
                <w:bCs/>
                <w:color w:val="000000"/>
              </w:rPr>
              <w:t xml:space="preserve"> data</w:t>
            </w:r>
          </w:p>
          <w:p w14:paraId="132C1040" w14:textId="553990E1" w:rsidR="00547DEE" w:rsidRPr="00041F1A" w:rsidRDefault="00547DEE">
            <w:pPr>
              <w:spacing w:line="240" w:lineRule="auto"/>
              <w:rPr>
                <w:rFonts w:eastAsia="Calibri"/>
                <w:color w:val="000000"/>
              </w:rPr>
            </w:pPr>
            <w:r w:rsidRPr="00041F1A">
              <w:rPr>
                <w:rFonts w:eastAsia="Calibri"/>
                <w:color w:val="000000"/>
              </w:rPr>
              <w:t>A summary of supply side and demand side data is presented in Appendix Table 4. Key items include:</w:t>
            </w:r>
          </w:p>
          <w:p w14:paraId="1C77F3CA" w14:textId="78B433BC" w:rsidR="00547DEE" w:rsidRPr="00041F1A" w:rsidRDefault="00892697" w:rsidP="00547DEE">
            <w:pPr>
              <w:pStyle w:val="ListParagraph"/>
              <w:numPr>
                <w:ilvl w:val="0"/>
                <w:numId w:val="2"/>
              </w:numPr>
              <w:spacing w:line="240" w:lineRule="auto"/>
              <w:rPr>
                <w:rFonts w:eastAsia="Calibri"/>
                <w:color w:val="000000"/>
              </w:rPr>
            </w:pPr>
            <w:r w:rsidRPr="00041F1A">
              <w:rPr>
                <w:rFonts w:eastAsia="Calibri"/>
                <w:color w:val="000000"/>
              </w:rPr>
              <w:t xml:space="preserve">Bed capacity for older people is higher in Sheffield (78 beds per 100,000 75+ resident population) than in England (71 beds per 100,000). </w:t>
            </w:r>
          </w:p>
          <w:p w14:paraId="07FCE8D4" w14:textId="78A25EB8" w:rsidR="00892697" w:rsidRPr="00041F1A" w:rsidRDefault="00826246" w:rsidP="00547DEE">
            <w:pPr>
              <w:pStyle w:val="ListParagraph"/>
              <w:numPr>
                <w:ilvl w:val="0"/>
                <w:numId w:val="2"/>
              </w:numPr>
              <w:spacing w:line="240" w:lineRule="auto"/>
              <w:rPr>
                <w:rFonts w:eastAsia="Calibri"/>
                <w:color w:val="000000"/>
              </w:rPr>
            </w:pPr>
            <w:r w:rsidRPr="00041F1A">
              <w:rPr>
                <w:rFonts w:eastAsia="Calibri"/>
                <w:color w:val="000000"/>
              </w:rPr>
              <w:t>C</w:t>
            </w:r>
            <w:r w:rsidR="00892697" w:rsidRPr="00041F1A">
              <w:rPr>
                <w:rFonts w:eastAsia="Calibri"/>
                <w:color w:val="000000"/>
              </w:rPr>
              <w:t>are home s</w:t>
            </w:r>
            <w:r w:rsidRPr="00041F1A">
              <w:rPr>
                <w:rFonts w:eastAsia="Calibri"/>
                <w:color w:val="000000"/>
              </w:rPr>
              <w:t>tock</w:t>
            </w:r>
            <w:r w:rsidR="00892697" w:rsidRPr="00041F1A">
              <w:rPr>
                <w:rFonts w:eastAsia="Calibri"/>
                <w:color w:val="000000"/>
              </w:rPr>
              <w:t xml:space="preserve"> in Sheffield is </w:t>
            </w:r>
            <w:r w:rsidRPr="00041F1A">
              <w:rPr>
                <w:rFonts w:eastAsia="Calibri"/>
                <w:color w:val="000000"/>
              </w:rPr>
              <w:t>predominantly 1</w:t>
            </w:r>
            <w:r w:rsidRPr="00041F1A">
              <w:rPr>
                <w:rFonts w:eastAsia="Calibri"/>
                <w:color w:val="000000"/>
                <w:vertAlign w:val="superscript"/>
              </w:rPr>
              <w:t>st</w:t>
            </w:r>
            <w:r w:rsidRPr="00041F1A">
              <w:rPr>
                <w:rFonts w:eastAsia="Calibri"/>
                <w:color w:val="000000"/>
              </w:rPr>
              <w:t xml:space="preserve"> generation </w:t>
            </w:r>
            <w:proofErr w:type="gramStart"/>
            <w:r w:rsidRPr="00041F1A">
              <w:rPr>
                <w:rFonts w:eastAsia="Calibri"/>
                <w:color w:val="000000"/>
              </w:rPr>
              <w:t>new-build</w:t>
            </w:r>
            <w:proofErr w:type="gramEnd"/>
            <w:r w:rsidRPr="00041F1A">
              <w:rPr>
                <w:rFonts w:eastAsia="Calibri"/>
                <w:color w:val="000000"/>
              </w:rPr>
              <w:t>. Some 81% of bed capacity is in purpose-built homes (England: 54%), but only 25% of capacity was first registered after the year 2000 (England: 31%)</w:t>
            </w:r>
            <w:r w:rsidR="00CC2AB1">
              <w:rPr>
                <w:rFonts w:eastAsia="Calibri"/>
                <w:color w:val="000000"/>
              </w:rPr>
              <w:t>.</w:t>
            </w:r>
          </w:p>
          <w:p w14:paraId="192159DB" w14:textId="57176341" w:rsidR="008F0B83" w:rsidRPr="00041F1A" w:rsidRDefault="008F0B83" w:rsidP="00547DEE">
            <w:pPr>
              <w:pStyle w:val="ListParagraph"/>
              <w:numPr>
                <w:ilvl w:val="0"/>
                <w:numId w:val="2"/>
              </w:numPr>
              <w:spacing w:line="240" w:lineRule="auto"/>
              <w:rPr>
                <w:rFonts w:eastAsia="Calibri"/>
                <w:color w:val="000000"/>
              </w:rPr>
            </w:pPr>
            <w:r w:rsidRPr="00041F1A">
              <w:rPr>
                <w:rFonts w:eastAsia="Calibri"/>
                <w:color w:val="000000"/>
              </w:rPr>
              <w:t>Nursing homes in Sheffield account for 61% of nursing and residential capacity (England: 53%)</w:t>
            </w:r>
            <w:r w:rsidR="00B752CE" w:rsidRPr="00041F1A">
              <w:rPr>
                <w:rFonts w:eastAsia="Calibri"/>
                <w:color w:val="000000"/>
              </w:rPr>
              <w:t xml:space="preserve"> many of the nursing homes are dual registered and people with residential as well as nursing needs</w:t>
            </w:r>
            <w:r w:rsidR="00237938" w:rsidRPr="00041F1A">
              <w:rPr>
                <w:rFonts w:eastAsia="Calibri"/>
                <w:color w:val="000000"/>
              </w:rPr>
              <w:t>, 62% of the capacity are residential beds and 38% nursing</w:t>
            </w:r>
            <w:r w:rsidR="00764F28">
              <w:rPr>
                <w:rFonts w:eastAsia="Calibri"/>
                <w:color w:val="000000"/>
              </w:rPr>
              <w:t>.</w:t>
            </w:r>
          </w:p>
          <w:p w14:paraId="246E56F3" w14:textId="704321C9" w:rsidR="006E50F5" w:rsidRPr="00041F1A" w:rsidRDefault="006E50F5" w:rsidP="00547DEE">
            <w:pPr>
              <w:pStyle w:val="ListParagraph"/>
              <w:numPr>
                <w:ilvl w:val="0"/>
                <w:numId w:val="2"/>
              </w:numPr>
              <w:spacing w:line="240" w:lineRule="auto"/>
              <w:rPr>
                <w:rFonts w:eastAsia="Calibri"/>
                <w:color w:val="000000"/>
              </w:rPr>
            </w:pPr>
            <w:r w:rsidRPr="00041F1A">
              <w:rPr>
                <w:rFonts w:eastAsia="Calibri"/>
                <w:color w:val="000000"/>
              </w:rPr>
              <w:lastRenderedPageBreak/>
              <w:t>For-profit care homes account for 77% of bed capacity (England: 84%). The not-for-profit share (23%) is higher than in England</w:t>
            </w:r>
            <w:r w:rsidR="00E7439E" w:rsidRPr="00041F1A">
              <w:rPr>
                <w:rFonts w:eastAsia="Calibri"/>
                <w:color w:val="000000"/>
              </w:rPr>
              <w:t xml:space="preserve"> </w:t>
            </w:r>
            <w:r w:rsidRPr="00041F1A">
              <w:rPr>
                <w:rFonts w:eastAsia="Calibri"/>
                <w:color w:val="000000"/>
              </w:rPr>
              <w:t>(16%) mainly due to the presence of Sheffcare in the Sheffield market.</w:t>
            </w:r>
          </w:p>
          <w:p w14:paraId="44F00EAD" w14:textId="56B6ECB3" w:rsidR="008F0B83" w:rsidRPr="00041F1A" w:rsidRDefault="008F0B83" w:rsidP="00547DEE">
            <w:pPr>
              <w:pStyle w:val="ListParagraph"/>
              <w:numPr>
                <w:ilvl w:val="0"/>
                <w:numId w:val="2"/>
              </w:numPr>
              <w:spacing w:line="240" w:lineRule="auto"/>
              <w:rPr>
                <w:rFonts w:eastAsia="Calibri"/>
                <w:color w:val="000000"/>
              </w:rPr>
            </w:pPr>
            <w:r w:rsidRPr="00041F1A">
              <w:rPr>
                <w:rFonts w:eastAsia="Calibri"/>
                <w:color w:val="000000"/>
              </w:rPr>
              <w:t>The distribution of care homes by size (beds) and ownership type in Sheffield is</w:t>
            </w:r>
            <w:r w:rsidR="009F4A17" w:rsidRPr="00041F1A">
              <w:rPr>
                <w:rFonts w:eastAsia="Calibri"/>
                <w:color w:val="000000"/>
              </w:rPr>
              <w:t xml:space="preserve"> </w:t>
            </w:r>
            <w:proofErr w:type="gramStart"/>
            <w:r w:rsidR="009F4A17" w:rsidRPr="00041F1A">
              <w:rPr>
                <w:rFonts w:eastAsia="Calibri"/>
                <w:color w:val="000000"/>
              </w:rPr>
              <w:t>similar to</w:t>
            </w:r>
            <w:proofErr w:type="gramEnd"/>
            <w:r w:rsidR="009F4A17" w:rsidRPr="00041F1A">
              <w:rPr>
                <w:rFonts w:eastAsia="Calibri"/>
                <w:color w:val="000000"/>
              </w:rPr>
              <w:t xml:space="preserve"> that in England (Appendix Table 5)</w:t>
            </w:r>
            <w:r w:rsidR="00764F28">
              <w:rPr>
                <w:rFonts w:eastAsia="Calibri"/>
                <w:color w:val="000000"/>
              </w:rPr>
              <w:t>.</w:t>
            </w:r>
          </w:p>
          <w:p w14:paraId="14915C60" w14:textId="57AE0C15" w:rsidR="009F4A17" w:rsidRPr="00041F1A" w:rsidRDefault="009F4A17" w:rsidP="00547DEE">
            <w:pPr>
              <w:pStyle w:val="ListParagraph"/>
              <w:numPr>
                <w:ilvl w:val="0"/>
                <w:numId w:val="2"/>
              </w:numPr>
              <w:spacing w:line="240" w:lineRule="auto"/>
              <w:rPr>
                <w:rFonts w:eastAsia="Calibri"/>
                <w:color w:val="000000"/>
              </w:rPr>
            </w:pPr>
            <w:r w:rsidRPr="00041F1A">
              <w:rPr>
                <w:rFonts w:eastAsia="Calibri"/>
                <w:color w:val="000000"/>
              </w:rPr>
              <w:t>The care home sector is competitive (or fragmented, from another perspective)</w:t>
            </w:r>
            <w:r w:rsidR="00E7439E" w:rsidRPr="00041F1A">
              <w:rPr>
                <w:rFonts w:eastAsia="Calibri"/>
                <w:color w:val="000000"/>
              </w:rPr>
              <w:t xml:space="preserve">, Table </w:t>
            </w:r>
            <w:r w:rsidR="00815692" w:rsidRPr="00041F1A">
              <w:rPr>
                <w:rFonts w:eastAsia="Calibri"/>
                <w:color w:val="000000"/>
              </w:rPr>
              <w:t>6</w:t>
            </w:r>
            <w:r w:rsidRPr="00041F1A">
              <w:rPr>
                <w:rFonts w:eastAsia="Calibri"/>
                <w:color w:val="000000"/>
              </w:rPr>
              <w:t>. The largest group is Sheffcare, a registered charity formed in 1993 through a transfer of homes formerly operated directly by Sheffield City Council. Sheffcare has a 13% share of Sheffield’s bed capacity, well below the Competition and Markets Authorities 25% benchmark for ‘monopolistic tendency’</w:t>
            </w:r>
            <w:r w:rsidR="00764F28">
              <w:rPr>
                <w:rFonts w:eastAsia="Calibri"/>
                <w:color w:val="000000"/>
              </w:rPr>
              <w:t>.</w:t>
            </w:r>
          </w:p>
          <w:p w14:paraId="016C93FC" w14:textId="23CDA882" w:rsidR="00E7439E" w:rsidRPr="00041F1A" w:rsidRDefault="00E7439E" w:rsidP="00E7439E">
            <w:pPr>
              <w:pStyle w:val="ListParagraph"/>
              <w:numPr>
                <w:ilvl w:val="0"/>
                <w:numId w:val="2"/>
              </w:numPr>
              <w:spacing w:line="240" w:lineRule="auto"/>
              <w:rPr>
                <w:rFonts w:eastAsia="Calibri"/>
                <w:color w:val="000000"/>
              </w:rPr>
            </w:pPr>
            <w:r w:rsidRPr="00041F1A">
              <w:rPr>
                <w:rFonts w:eastAsia="Calibri"/>
                <w:color w:val="000000"/>
              </w:rPr>
              <w:t>Overall demand from all funding sources, at 65 occupied beds per 1,000 75+ population in Sheffield is a little higher than in England (6</w:t>
            </w:r>
            <w:r w:rsidR="00AD01FC" w:rsidRPr="00041F1A">
              <w:rPr>
                <w:rFonts w:eastAsia="Calibri"/>
                <w:color w:val="000000"/>
              </w:rPr>
              <w:t>0</w:t>
            </w:r>
            <w:r w:rsidRPr="00041F1A">
              <w:rPr>
                <w:rFonts w:eastAsia="Calibri"/>
                <w:color w:val="000000"/>
              </w:rPr>
              <w:t xml:space="preserve"> occupied beds per 1,000 75+ population)</w:t>
            </w:r>
            <w:r w:rsidR="00095E54">
              <w:rPr>
                <w:rFonts w:eastAsia="Calibri"/>
                <w:color w:val="000000"/>
              </w:rPr>
              <w:t>.</w:t>
            </w:r>
          </w:p>
          <w:p w14:paraId="2A5B08C7" w14:textId="0A3D65CB" w:rsidR="00E7439E" w:rsidRPr="00041F1A" w:rsidRDefault="00E7439E" w:rsidP="00E7439E">
            <w:pPr>
              <w:pStyle w:val="ListParagraph"/>
              <w:numPr>
                <w:ilvl w:val="0"/>
                <w:numId w:val="2"/>
              </w:numPr>
              <w:spacing w:line="240" w:lineRule="auto"/>
              <w:rPr>
                <w:rFonts w:eastAsia="Calibri"/>
                <w:color w:val="000000"/>
              </w:rPr>
            </w:pPr>
            <w:r w:rsidRPr="00041F1A">
              <w:rPr>
                <w:rFonts w:eastAsia="Calibri"/>
                <w:color w:val="000000"/>
              </w:rPr>
              <w:t>Council funded demand (31 per 1,000) is higher than in England ((2</w:t>
            </w:r>
            <w:r w:rsidR="00AD01FC" w:rsidRPr="00041F1A">
              <w:rPr>
                <w:rFonts w:eastAsia="Calibri"/>
                <w:color w:val="000000"/>
              </w:rPr>
              <w:t>6</w:t>
            </w:r>
            <w:r w:rsidRPr="00041F1A">
              <w:rPr>
                <w:rFonts w:eastAsia="Calibri"/>
                <w:color w:val="000000"/>
              </w:rPr>
              <w:t xml:space="preserve"> per 1,000)</w:t>
            </w:r>
            <w:r w:rsidR="00095E54">
              <w:rPr>
                <w:rFonts w:eastAsia="Calibri"/>
                <w:color w:val="000000"/>
              </w:rPr>
              <w:t>.</w:t>
            </w:r>
          </w:p>
          <w:p w14:paraId="3023B3D1" w14:textId="3288A3B1" w:rsidR="00AD01FC" w:rsidRPr="00041F1A" w:rsidRDefault="00AD01FC" w:rsidP="00E7439E">
            <w:pPr>
              <w:pStyle w:val="ListParagraph"/>
              <w:numPr>
                <w:ilvl w:val="0"/>
                <w:numId w:val="2"/>
              </w:numPr>
              <w:spacing w:line="240" w:lineRule="auto"/>
              <w:rPr>
                <w:rFonts w:eastAsia="Calibri"/>
                <w:color w:val="000000"/>
              </w:rPr>
            </w:pPr>
            <w:r w:rsidRPr="00041F1A">
              <w:rPr>
                <w:rFonts w:eastAsia="Calibri"/>
                <w:color w:val="000000"/>
              </w:rPr>
              <w:t xml:space="preserve">Private payers account for an estimated </w:t>
            </w:r>
            <w:r w:rsidR="00237938" w:rsidRPr="00041F1A">
              <w:rPr>
                <w:rFonts w:eastAsia="Calibri"/>
                <w:color w:val="000000"/>
              </w:rPr>
              <w:t>37</w:t>
            </w:r>
            <w:r w:rsidRPr="00041F1A">
              <w:rPr>
                <w:rFonts w:eastAsia="Calibri"/>
                <w:color w:val="000000"/>
              </w:rPr>
              <w:t>% of care home residents in Sheffield (England 47%).</w:t>
            </w:r>
          </w:p>
          <w:p w14:paraId="6B9E4FFD" w14:textId="77777777" w:rsidR="00964BA0" w:rsidRPr="00041F1A" w:rsidRDefault="00964BA0" w:rsidP="00964BA0">
            <w:pPr>
              <w:spacing w:line="240" w:lineRule="auto"/>
              <w:rPr>
                <w:rFonts w:eastAsia="Calibri"/>
                <w:color w:val="000000"/>
              </w:rPr>
            </w:pPr>
          </w:p>
          <w:p w14:paraId="5947B199" w14:textId="3C34D800" w:rsidR="00964BA0" w:rsidRPr="00041F1A" w:rsidRDefault="00964BA0" w:rsidP="00964BA0">
            <w:pPr>
              <w:spacing w:line="240" w:lineRule="auto"/>
              <w:rPr>
                <w:rFonts w:eastAsia="Calibri"/>
                <w:color w:val="000000"/>
              </w:rPr>
            </w:pPr>
            <w:r w:rsidRPr="00041F1A">
              <w:rPr>
                <w:rFonts w:eastAsia="Calibri"/>
                <w:b/>
                <w:bCs/>
                <w:color w:val="000000"/>
              </w:rPr>
              <w:t>Sufficiency of supply to meet demand</w:t>
            </w:r>
            <w:r w:rsidR="005F141C">
              <w:rPr>
                <w:rFonts w:eastAsia="Calibri"/>
                <w:b/>
                <w:bCs/>
                <w:color w:val="000000"/>
              </w:rPr>
              <w:t xml:space="preserve">: </w:t>
            </w:r>
            <w:r w:rsidRPr="00041F1A">
              <w:rPr>
                <w:rFonts w:eastAsia="Calibri"/>
                <w:color w:val="000000"/>
              </w:rPr>
              <w:t>Sheffield City Council considers that care home bed capacity is adequate</w:t>
            </w:r>
            <w:r w:rsidR="00815692" w:rsidRPr="00041F1A">
              <w:rPr>
                <w:rFonts w:eastAsia="Calibri"/>
                <w:color w:val="000000"/>
              </w:rPr>
              <w:t>,</w:t>
            </w:r>
            <w:r w:rsidRPr="00041F1A">
              <w:rPr>
                <w:rFonts w:eastAsia="Calibri"/>
                <w:color w:val="000000"/>
              </w:rPr>
              <w:t xml:space="preserve"> currently and for the foreseeable future, though the council would wish to see some of the existing stock re-positioned to offer more specialist care.  The council considers there is currently an excess of generic residential home capacity.</w:t>
            </w:r>
          </w:p>
          <w:p w14:paraId="45E9EEF6" w14:textId="77777777" w:rsidR="005F141C" w:rsidRPr="00041F1A" w:rsidRDefault="005F141C" w:rsidP="00964BA0">
            <w:pPr>
              <w:spacing w:line="240" w:lineRule="auto"/>
              <w:rPr>
                <w:rFonts w:eastAsia="Calibri"/>
                <w:color w:val="000000"/>
              </w:rPr>
            </w:pPr>
          </w:p>
          <w:p w14:paraId="75816C2D" w14:textId="05C939ED" w:rsidR="003D6120" w:rsidRPr="00041F1A" w:rsidRDefault="003D6120" w:rsidP="00964BA0">
            <w:pPr>
              <w:spacing w:line="240" w:lineRule="auto"/>
              <w:rPr>
                <w:rFonts w:eastAsia="Calibri"/>
                <w:b/>
                <w:bCs/>
                <w:color w:val="000000"/>
              </w:rPr>
            </w:pPr>
            <w:r w:rsidRPr="00041F1A">
              <w:rPr>
                <w:rFonts w:eastAsia="Calibri"/>
                <w:b/>
                <w:bCs/>
                <w:color w:val="000000"/>
              </w:rPr>
              <w:t>Council-paid fee rates</w:t>
            </w:r>
            <w:r w:rsidR="005F141C">
              <w:rPr>
                <w:rFonts w:eastAsia="Calibri"/>
                <w:b/>
                <w:bCs/>
                <w:color w:val="000000"/>
              </w:rPr>
              <w:t xml:space="preserve">: </w:t>
            </w:r>
            <w:r w:rsidRPr="00041F1A">
              <w:rPr>
                <w:rFonts w:eastAsia="Calibri"/>
                <w:color w:val="000000"/>
              </w:rPr>
              <w:t>Based on the latest available iBCF data for 2020/21</w:t>
            </w:r>
            <w:r w:rsidRPr="00041F1A">
              <w:rPr>
                <w:color w:val="000000"/>
                <w:vertAlign w:val="superscript"/>
              </w:rPr>
              <w:endnoteReference w:id="3"/>
            </w:r>
            <w:r w:rsidRPr="00041F1A">
              <w:rPr>
                <w:rFonts w:eastAsia="Calibri"/>
                <w:color w:val="000000"/>
              </w:rPr>
              <w:t xml:space="preserve">, Sheffield </w:t>
            </w:r>
            <w:r w:rsidR="00095E54">
              <w:rPr>
                <w:rFonts w:eastAsia="Calibri"/>
                <w:color w:val="000000"/>
              </w:rPr>
              <w:t>has one</w:t>
            </w:r>
            <w:r w:rsidRPr="00041F1A">
              <w:rPr>
                <w:rFonts w:eastAsia="Calibri"/>
                <w:color w:val="000000"/>
              </w:rPr>
              <w:t xml:space="preserve"> of the lowe</w:t>
            </w:r>
            <w:r w:rsidR="00095E54">
              <w:rPr>
                <w:rFonts w:eastAsia="Calibri"/>
                <w:color w:val="000000"/>
              </w:rPr>
              <w:t>r</w:t>
            </w:r>
            <w:r w:rsidRPr="00041F1A">
              <w:rPr>
                <w:rFonts w:eastAsia="Calibri"/>
                <w:color w:val="000000"/>
              </w:rPr>
              <w:t xml:space="preserve"> fee rates</w:t>
            </w:r>
            <w:r w:rsidR="00095E54">
              <w:rPr>
                <w:rFonts w:eastAsia="Calibri"/>
                <w:color w:val="000000"/>
              </w:rPr>
              <w:t xml:space="preserve"> </w:t>
            </w:r>
            <w:r w:rsidR="007E0638">
              <w:rPr>
                <w:rFonts w:eastAsia="Calibri"/>
                <w:color w:val="000000"/>
              </w:rPr>
              <w:t>for</w:t>
            </w:r>
            <w:r w:rsidRPr="00041F1A">
              <w:rPr>
                <w:rFonts w:eastAsia="Calibri"/>
                <w:color w:val="000000"/>
              </w:rPr>
              <w:t xml:space="preserve"> residential and nursing care providers, Appendix Table 3. </w:t>
            </w:r>
          </w:p>
          <w:p w14:paraId="3D4E50C8" w14:textId="77777777" w:rsidR="003D6120" w:rsidRPr="00041F1A" w:rsidRDefault="003D6120">
            <w:pPr>
              <w:spacing w:line="240" w:lineRule="auto"/>
              <w:rPr>
                <w:rFonts w:eastAsia="Calibri"/>
                <w:color w:val="000000"/>
              </w:rPr>
            </w:pPr>
          </w:p>
          <w:p w14:paraId="6524BF6B" w14:textId="6FADB652" w:rsidR="006923B9" w:rsidRDefault="00414B2E">
            <w:pPr>
              <w:spacing w:line="240" w:lineRule="auto"/>
              <w:rPr>
                <w:rFonts w:eastAsia="Calibri"/>
                <w:color w:val="000000"/>
              </w:rPr>
            </w:pPr>
            <w:r w:rsidRPr="00041F1A">
              <w:rPr>
                <w:rFonts w:eastAsia="Calibri"/>
                <w:color w:val="000000"/>
              </w:rPr>
              <w:t>In 2022/23,</w:t>
            </w:r>
            <w:r w:rsidR="007E0638">
              <w:rPr>
                <w:rFonts w:eastAsia="Calibri"/>
                <w:color w:val="000000"/>
              </w:rPr>
              <w:t xml:space="preserve"> </w:t>
            </w:r>
            <w:r w:rsidR="00165622" w:rsidRPr="00041F1A">
              <w:rPr>
                <w:rFonts w:eastAsia="Calibri"/>
                <w:color w:val="000000"/>
              </w:rPr>
              <w:t xml:space="preserve">Sheffield City Council began the financial year </w:t>
            </w:r>
            <w:r w:rsidR="007E0638">
              <w:rPr>
                <w:rFonts w:eastAsia="Calibri"/>
                <w:color w:val="000000"/>
              </w:rPr>
              <w:t>with</w:t>
            </w:r>
            <w:r w:rsidR="00165622" w:rsidRPr="00041F1A">
              <w:rPr>
                <w:rFonts w:eastAsia="Calibri"/>
                <w:color w:val="000000"/>
              </w:rPr>
              <w:t xml:space="preserve"> a standard rate of £547 per week for most older people’s residential or nursing care</w:t>
            </w:r>
            <w:r w:rsidR="00044E64" w:rsidRPr="00041F1A">
              <w:rPr>
                <w:rFonts w:eastAsia="Calibri"/>
                <w:color w:val="000000"/>
              </w:rPr>
              <w:t xml:space="preserve">.  Following the completion of the Fair Cost of Care Exercise </w:t>
            </w:r>
            <w:r w:rsidR="007E0638">
              <w:rPr>
                <w:rFonts w:eastAsia="Calibri"/>
                <w:color w:val="000000"/>
              </w:rPr>
              <w:t>and allocation of the Market Sustainability and Fair Cost of Care Fund</w:t>
            </w:r>
            <w:r w:rsidR="006923B9">
              <w:rPr>
                <w:rFonts w:eastAsia="Calibri"/>
                <w:color w:val="000000"/>
              </w:rPr>
              <w:t xml:space="preserve">, </w:t>
            </w:r>
            <w:r w:rsidR="00044E64" w:rsidRPr="00041F1A">
              <w:rPr>
                <w:rFonts w:eastAsia="Calibri"/>
                <w:color w:val="000000"/>
              </w:rPr>
              <w:t xml:space="preserve">this standard rate was increased to £565 per week and backdated to the beginning of the financial year.  </w:t>
            </w:r>
          </w:p>
          <w:p w14:paraId="32FE3715" w14:textId="77777777" w:rsidR="006923B9" w:rsidRDefault="006923B9">
            <w:pPr>
              <w:spacing w:line="240" w:lineRule="auto"/>
              <w:rPr>
                <w:rFonts w:eastAsia="Calibri"/>
                <w:color w:val="000000"/>
              </w:rPr>
            </w:pPr>
          </w:p>
          <w:p w14:paraId="0788A0B5" w14:textId="7010DAA5" w:rsidR="00635161" w:rsidRPr="00041F1A" w:rsidRDefault="006923B9">
            <w:pPr>
              <w:spacing w:line="240" w:lineRule="auto"/>
              <w:rPr>
                <w:rFonts w:eastAsia="Calibri"/>
                <w:color w:val="000000"/>
              </w:rPr>
            </w:pPr>
            <w:proofErr w:type="gramStart"/>
            <w:r w:rsidRPr="00041F1A">
              <w:rPr>
                <w:rFonts w:eastAsia="Calibri"/>
                <w:color w:val="000000"/>
              </w:rPr>
              <w:t>The majority of</w:t>
            </w:r>
            <w:proofErr w:type="gramEnd"/>
            <w:r w:rsidRPr="00041F1A">
              <w:rPr>
                <w:rFonts w:eastAsia="Calibri"/>
                <w:color w:val="000000"/>
              </w:rPr>
              <w:t xml:space="preserve"> placements are made at </w:t>
            </w:r>
            <w:r>
              <w:rPr>
                <w:rFonts w:eastAsia="Calibri"/>
                <w:color w:val="000000"/>
              </w:rPr>
              <w:t>the standard</w:t>
            </w:r>
            <w:r w:rsidRPr="00041F1A">
              <w:rPr>
                <w:rFonts w:eastAsia="Calibri"/>
                <w:color w:val="000000"/>
              </w:rPr>
              <w:t xml:space="preserve"> rate. </w:t>
            </w:r>
            <w:r w:rsidR="004A0E76" w:rsidRPr="00041F1A">
              <w:rPr>
                <w:rFonts w:eastAsia="Calibri"/>
                <w:color w:val="000000"/>
              </w:rPr>
              <w:t xml:space="preserve">The </w:t>
            </w:r>
            <w:r w:rsidR="00501DB1" w:rsidRPr="00041F1A">
              <w:rPr>
                <w:rFonts w:eastAsia="Calibri"/>
                <w:color w:val="000000"/>
              </w:rPr>
              <w:t>remaining placements</w:t>
            </w:r>
            <w:r w:rsidR="004A0E76" w:rsidRPr="00041F1A">
              <w:rPr>
                <w:rFonts w:eastAsia="Calibri"/>
                <w:color w:val="000000"/>
              </w:rPr>
              <w:t xml:space="preserve"> are at higher rates, taking the average (mean) council paid fee for residential care up to £6</w:t>
            </w:r>
            <w:r w:rsidR="00444A56">
              <w:rPr>
                <w:rFonts w:eastAsia="Calibri"/>
                <w:color w:val="000000"/>
              </w:rPr>
              <w:t>1</w:t>
            </w:r>
            <w:r w:rsidR="004A0E76" w:rsidRPr="00041F1A">
              <w:rPr>
                <w:rFonts w:eastAsia="Calibri"/>
                <w:color w:val="000000"/>
              </w:rPr>
              <w:t xml:space="preserve">1 per week in 2022/23, compared with an estimated private pay rate of £820. </w:t>
            </w:r>
          </w:p>
          <w:p w14:paraId="7C3B8D91" w14:textId="13B2F9F3" w:rsidR="009F4A17" w:rsidRPr="00041F1A" w:rsidRDefault="009F4A17">
            <w:pPr>
              <w:spacing w:line="240" w:lineRule="auto"/>
              <w:rPr>
                <w:rFonts w:eastAsia="Calibri"/>
                <w:color w:val="000000"/>
              </w:rPr>
            </w:pPr>
          </w:p>
          <w:p w14:paraId="2B0FFBF8" w14:textId="217DC551" w:rsidR="000204ED" w:rsidRPr="00041F1A" w:rsidRDefault="009F4A17">
            <w:pPr>
              <w:spacing w:line="240" w:lineRule="auto"/>
              <w:rPr>
                <w:rFonts w:eastAsia="Calibri"/>
                <w:color w:val="000000"/>
              </w:rPr>
            </w:pPr>
            <w:r w:rsidRPr="00041F1A">
              <w:rPr>
                <w:rFonts w:eastAsia="Calibri"/>
                <w:color w:val="000000"/>
              </w:rPr>
              <w:t>The profitability of the care home sector across Sheffield is not transparent</w:t>
            </w:r>
            <w:r w:rsidR="00B319A9" w:rsidRPr="00041F1A">
              <w:rPr>
                <w:rFonts w:eastAsia="Calibri"/>
                <w:color w:val="000000"/>
              </w:rPr>
              <w:t xml:space="preserve"> </w:t>
            </w:r>
            <w:r w:rsidR="00635161" w:rsidRPr="00041F1A">
              <w:rPr>
                <w:rFonts w:eastAsia="Calibri"/>
                <w:color w:val="000000"/>
              </w:rPr>
              <w:t>because</w:t>
            </w:r>
            <w:r w:rsidR="00B319A9" w:rsidRPr="00041F1A">
              <w:rPr>
                <w:rFonts w:eastAsia="Calibri"/>
                <w:color w:val="000000"/>
              </w:rPr>
              <w:t xml:space="preserve"> most group operators are not confined to Sheffield and most providers do not post profit and loss accounts at Companies House. There are just two operators which can be cited as markers of profitability</w:t>
            </w:r>
            <w:r w:rsidR="00F15AEF" w:rsidRPr="00041F1A">
              <w:rPr>
                <w:rFonts w:eastAsia="Calibri"/>
                <w:color w:val="000000"/>
              </w:rPr>
              <w:t xml:space="preserve"> specific to Sheffield</w:t>
            </w:r>
            <w:r w:rsidR="00C25EB0">
              <w:rPr>
                <w:rFonts w:eastAsia="Calibri"/>
                <w:color w:val="000000"/>
              </w:rPr>
              <w:t xml:space="preserve">. </w:t>
            </w:r>
            <w:r w:rsidR="001465CB">
              <w:rPr>
                <w:rFonts w:eastAsia="Calibri"/>
                <w:color w:val="000000"/>
              </w:rPr>
              <w:t>One</w:t>
            </w:r>
            <w:r w:rsidR="00C25EB0">
              <w:rPr>
                <w:rFonts w:eastAsia="Calibri"/>
                <w:color w:val="000000"/>
              </w:rPr>
              <w:t xml:space="preserve"> gave </w:t>
            </w:r>
            <w:r w:rsidR="001465CB">
              <w:rPr>
                <w:rFonts w:eastAsia="Calibri"/>
                <w:color w:val="000000"/>
              </w:rPr>
              <w:t xml:space="preserve">operating profits of </w:t>
            </w:r>
            <w:r w:rsidR="00673141">
              <w:rPr>
                <w:rFonts w:eastAsia="Calibri"/>
                <w:color w:val="000000"/>
              </w:rPr>
              <w:t xml:space="preserve"> </w:t>
            </w:r>
            <w:r w:rsidR="001465CB" w:rsidRPr="00041F1A">
              <w:rPr>
                <w:rFonts w:eastAsia="Calibri"/>
                <w:color w:val="000000"/>
              </w:rPr>
              <w:t xml:space="preserve">6-9% of revenue while </w:t>
            </w:r>
            <w:r w:rsidR="001465CB">
              <w:rPr>
                <w:rFonts w:eastAsia="Calibri"/>
                <w:color w:val="000000"/>
              </w:rPr>
              <w:t>the other</w:t>
            </w:r>
            <w:r w:rsidR="001465CB" w:rsidRPr="00041F1A">
              <w:rPr>
                <w:rFonts w:eastAsia="Calibri"/>
                <w:color w:val="000000"/>
              </w:rPr>
              <w:t xml:space="preserve"> returned operating profits of 5% of revenue in the year ending March 2020</w:t>
            </w:r>
            <w:r w:rsidR="001465CB" w:rsidRPr="00041F1A">
              <w:rPr>
                <w:rStyle w:val="FootnoteReference"/>
                <w:rFonts w:eastAsia="Calibri"/>
                <w:color w:val="000000"/>
              </w:rPr>
              <w:footnoteReference w:id="2"/>
            </w:r>
            <w:r w:rsidR="00635161" w:rsidRPr="00041F1A">
              <w:rPr>
                <w:rStyle w:val="FootnoteReference"/>
                <w:rFonts w:eastAsia="Calibri"/>
                <w:color w:val="000000"/>
              </w:rPr>
              <w:footnoteReference w:id="3"/>
            </w:r>
            <w:r w:rsidR="000204ED" w:rsidRPr="00041F1A">
              <w:rPr>
                <w:rFonts w:eastAsia="Calibri"/>
                <w:color w:val="000000"/>
              </w:rPr>
              <w:t xml:space="preserve">. </w:t>
            </w:r>
          </w:p>
          <w:p w14:paraId="4E371AF5" w14:textId="77777777" w:rsidR="00731897" w:rsidRDefault="00731897">
            <w:pPr>
              <w:spacing w:line="240" w:lineRule="auto"/>
              <w:rPr>
                <w:rFonts w:eastAsia="Calibri"/>
                <w:color w:val="000000"/>
              </w:rPr>
            </w:pPr>
          </w:p>
          <w:p w14:paraId="331216C6" w14:textId="1020E2CD" w:rsidR="00731897" w:rsidRPr="00041F1A" w:rsidRDefault="0070324C">
            <w:pPr>
              <w:spacing w:line="240" w:lineRule="auto"/>
              <w:rPr>
                <w:color w:val="000000"/>
              </w:rPr>
            </w:pPr>
            <w:r w:rsidRPr="00041F1A">
              <w:rPr>
                <w:rFonts w:eastAsia="Calibri"/>
                <w:b/>
                <w:bCs/>
                <w:color w:val="000000"/>
              </w:rPr>
              <w:t>Market diversity:</w:t>
            </w:r>
            <w:r w:rsidRPr="00041F1A">
              <w:rPr>
                <w:rFonts w:eastAsia="Calibri"/>
                <w:color w:val="000000"/>
              </w:rPr>
              <w:t xml:space="preserve"> The principal</w:t>
            </w:r>
            <w:r w:rsidR="007A71AB" w:rsidRPr="00041F1A">
              <w:rPr>
                <w:rFonts w:eastAsia="Calibri"/>
                <w:color w:val="000000"/>
              </w:rPr>
              <w:t xml:space="preserve"> care home</w:t>
            </w:r>
            <w:r w:rsidRPr="00041F1A">
              <w:rPr>
                <w:rFonts w:eastAsia="Calibri"/>
                <w:color w:val="000000"/>
              </w:rPr>
              <w:t xml:space="preserve"> </w:t>
            </w:r>
            <w:r w:rsidR="007A71AB" w:rsidRPr="00041F1A">
              <w:rPr>
                <w:rFonts w:eastAsia="Calibri"/>
                <w:color w:val="000000"/>
              </w:rPr>
              <w:t xml:space="preserve">market diversity </w:t>
            </w:r>
            <w:r w:rsidRPr="00041F1A">
              <w:rPr>
                <w:rFonts w:eastAsia="Calibri"/>
                <w:color w:val="000000"/>
              </w:rPr>
              <w:t xml:space="preserve">deficit in </w:t>
            </w:r>
            <w:r w:rsidR="007A71AB" w:rsidRPr="00041F1A">
              <w:rPr>
                <w:rFonts w:eastAsia="Calibri"/>
                <w:color w:val="000000"/>
              </w:rPr>
              <w:t>Sheffield</w:t>
            </w:r>
            <w:r w:rsidRPr="00041F1A">
              <w:rPr>
                <w:rFonts w:eastAsia="Calibri"/>
                <w:color w:val="000000"/>
              </w:rPr>
              <w:t xml:space="preserve"> </w:t>
            </w:r>
            <w:r w:rsidR="007A71AB" w:rsidRPr="00041F1A">
              <w:rPr>
                <w:rFonts w:eastAsia="Calibri"/>
                <w:color w:val="000000"/>
              </w:rPr>
              <w:t>is</w:t>
            </w:r>
            <w:r w:rsidRPr="00041F1A">
              <w:rPr>
                <w:rFonts w:eastAsia="Calibri"/>
                <w:color w:val="000000"/>
              </w:rPr>
              <w:t xml:space="preserve"> a lack of </w:t>
            </w:r>
            <w:r w:rsidR="007A71AB" w:rsidRPr="00041F1A">
              <w:rPr>
                <w:rFonts w:eastAsia="Calibri"/>
                <w:color w:val="000000"/>
              </w:rPr>
              <w:t xml:space="preserve">sufficient </w:t>
            </w:r>
            <w:r w:rsidRPr="00041F1A">
              <w:rPr>
                <w:rFonts w:eastAsia="Calibri"/>
                <w:color w:val="000000"/>
              </w:rPr>
              <w:t>specialist provision for more people with complex behaviour</w:t>
            </w:r>
            <w:r w:rsidR="007A71AB" w:rsidRPr="00041F1A">
              <w:rPr>
                <w:rFonts w:eastAsia="Calibri"/>
                <w:color w:val="000000"/>
              </w:rPr>
              <w:t>s</w:t>
            </w:r>
            <w:r w:rsidRPr="00041F1A">
              <w:rPr>
                <w:rFonts w:eastAsia="Calibri"/>
                <w:color w:val="000000"/>
              </w:rPr>
              <w:t xml:space="preserve"> including dementia.</w:t>
            </w:r>
            <w:r w:rsidR="0012270D" w:rsidRPr="00041F1A">
              <w:rPr>
                <w:rFonts w:eastAsia="Calibri"/>
                <w:color w:val="000000"/>
              </w:rPr>
              <w:t xml:space="preserve"> There is an excess of generic residential care stock, evidenced by relatively low occupancy rate (</w:t>
            </w:r>
            <w:r w:rsidR="00044E64" w:rsidRPr="00041F1A">
              <w:rPr>
                <w:rFonts w:eastAsia="Calibri"/>
                <w:color w:val="000000"/>
              </w:rPr>
              <w:t>79%</w:t>
            </w:r>
            <w:r w:rsidR="0012270D" w:rsidRPr="00041F1A">
              <w:rPr>
                <w:rFonts w:eastAsia="Calibri"/>
                <w:color w:val="000000"/>
              </w:rPr>
              <w:t xml:space="preserve">) recorded by Capacity Tracker in </w:t>
            </w:r>
            <w:r w:rsidR="00044E64" w:rsidRPr="00041F1A">
              <w:rPr>
                <w:rFonts w:eastAsia="Calibri"/>
                <w:color w:val="000000"/>
              </w:rPr>
              <w:t>March 2023</w:t>
            </w:r>
            <w:r w:rsidR="0012270D" w:rsidRPr="00041F1A">
              <w:rPr>
                <w:rFonts w:eastAsia="Calibri"/>
                <w:color w:val="000000"/>
              </w:rPr>
              <w:t xml:space="preserve"> for this segment of the market.</w:t>
            </w:r>
          </w:p>
          <w:p w14:paraId="580087BD" w14:textId="77777777" w:rsidR="00731897" w:rsidRPr="00041F1A" w:rsidRDefault="00731897">
            <w:pPr>
              <w:spacing w:line="240" w:lineRule="auto"/>
              <w:rPr>
                <w:rFonts w:eastAsia="Calibri"/>
                <w:color w:val="000000"/>
              </w:rPr>
            </w:pPr>
          </w:p>
          <w:p w14:paraId="27644763" w14:textId="6C3000C3" w:rsidR="00731897" w:rsidRPr="00041F1A" w:rsidRDefault="0070324C">
            <w:pPr>
              <w:spacing w:line="240" w:lineRule="auto"/>
              <w:rPr>
                <w:color w:val="000000"/>
              </w:rPr>
            </w:pPr>
            <w:r w:rsidRPr="00041F1A">
              <w:rPr>
                <w:rFonts w:eastAsia="Calibri"/>
                <w:b/>
                <w:bCs/>
                <w:color w:val="000000"/>
              </w:rPr>
              <w:lastRenderedPageBreak/>
              <w:t>Quality of care:</w:t>
            </w:r>
            <w:r w:rsidRPr="00041F1A">
              <w:rPr>
                <w:rFonts w:eastAsia="Calibri"/>
                <w:color w:val="000000"/>
              </w:rPr>
              <w:t xml:space="preserve"> </w:t>
            </w:r>
            <w:r w:rsidR="0012270D" w:rsidRPr="00041F1A">
              <w:rPr>
                <w:rFonts w:eastAsia="Calibri"/>
                <w:color w:val="000000"/>
              </w:rPr>
              <w:t xml:space="preserve">As </w:t>
            </w:r>
            <w:r w:rsidR="00501DB1" w:rsidRPr="00041F1A">
              <w:rPr>
                <w:rFonts w:eastAsia="Calibri"/>
                <w:color w:val="000000"/>
              </w:rPr>
              <w:t>of</w:t>
            </w:r>
            <w:r w:rsidR="0012270D" w:rsidRPr="00041F1A">
              <w:rPr>
                <w:rFonts w:eastAsia="Calibri"/>
                <w:color w:val="000000"/>
              </w:rPr>
              <w:t xml:space="preserve"> October 2022, 86%</w:t>
            </w:r>
            <w:r w:rsidRPr="00041F1A">
              <w:rPr>
                <w:rFonts w:eastAsia="Calibri"/>
                <w:color w:val="000000"/>
              </w:rPr>
              <w:t xml:space="preserve"> of </w:t>
            </w:r>
            <w:r w:rsidR="0012270D" w:rsidRPr="00041F1A">
              <w:rPr>
                <w:rFonts w:eastAsia="Calibri"/>
                <w:color w:val="000000"/>
              </w:rPr>
              <w:t>Sheffield</w:t>
            </w:r>
            <w:r w:rsidRPr="00041F1A">
              <w:rPr>
                <w:rFonts w:eastAsia="Calibri"/>
                <w:color w:val="000000"/>
              </w:rPr>
              <w:t>’s care homes for older people were rated Good or Outstanding at their most recent inspection, which is significantly higher than the 7</w:t>
            </w:r>
            <w:r w:rsidR="00567DA0" w:rsidRPr="00041F1A">
              <w:rPr>
                <w:rFonts w:eastAsia="Calibri"/>
                <w:color w:val="000000"/>
              </w:rPr>
              <w:t>8.4</w:t>
            </w:r>
            <w:r w:rsidRPr="00041F1A">
              <w:rPr>
                <w:rFonts w:eastAsia="Calibri"/>
                <w:color w:val="000000"/>
              </w:rPr>
              <w:t>% for corresponding homes across England.</w:t>
            </w:r>
          </w:p>
          <w:p w14:paraId="11E6306A" w14:textId="77777777" w:rsidR="00731897" w:rsidRPr="00041F1A" w:rsidRDefault="00731897">
            <w:pPr>
              <w:spacing w:line="240" w:lineRule="auto"/>
              <w:rPr>
                <w:color w:val="000000"/>
              </w:rPr>
            </w:pPr>
          </w:p>
          <w:p w14:paraId="78F1923A" w14:textId="4F8B8C46" w:rsidR="00964BA0" w:rsidRPr="00041F1A" w:rsidRDefault="00964BA0">
            <w:pPr>
              <w:spacing w:line="240" w:lineRule="auto"/>
              <w:rPr>
                <w:color w:val="000000"/>
              </w:rPr>
            </w:pPr>
            <w:r w:rsidRPr="00041F1A">
              <w:rPr>
                <w:b/>
                <w:bCs/>
                <w:color w:val="000000"/>
              </w:rPr>
              <w:t>Workforce</w:t>
            </w:r>
            <w:r w:rsidR="0057029A">
              <w:rPr>
                <w:b/>
                <w:bCs/>
                <w:color w:val="000000"/>
              </w:rPr>
              <w:t xml:space="preserve">: </w:t>
            </w:r>
            <w:r w:rsidRPr="00041F1A">
              <w:rPr>
                <w:color w:val="000000"/>
              </w:rPr>
              <w:t>As noted in Section 1, workforce represents the principal sustainability challenge to Sheffield’s care home (65+) sector</w:t>
            </w:r>
            <w:r w:rsidR="0057029A">
              <w:rPr>
                <w:color w:val="000000"/>
              </w:rPr>
              <w:t>. The council is leveraging it’s available</w:t>
            </w:r>
            <w:r w:rsidR="00F15AEF" w:rsidRPr="00041F1A">
              <w:rPr>
                <w:color w:val="000000"/>
              </w:rPr>
              <w:t xml:space="preserve"> capacity to influence the local </w:t>
            </w:r>
            <w:proofErr w:type="spellStart"/>
            <w:r w:rsidR="00F15AEF" w:rsidRPr="00041F1A">
              <w:rPr>
                <w:color w:val="000000"/>
              </w:rPr>
              <w:t>labour</w:t>
            </w:r>
            <w:proofErr w:type="spellEnd"/>
            <w:r w:rsidR="00F15AEF" w:rsidRPr="00041F1A">
              <w:rPr>
                <w:color w:val="000000"/>
              </w:rPr>
              <w:t xml:space="preserve"> market </w:t>
            </w:r>
            <w:r w:rsidR="0057029A">
              <w:rPr>
                <w:color w:val="000000"/>
              </w:rPr>
              <w:t>as set out in</w:t>
            </w:r>
            <w:r w:rsidR="004E330D">
              <w:rPr>
                <w:color w:val="000000"/>
              </w:rPr>
              <w:t xml:space="preserve"> our</w:t>
            </w:r>
            <w:r w:rsidR="0057029A">
              <w:rPr>
                <w:color w:val="000000"/>
              </w:rPr>
              <w:t xml:space="preserve"> </w:t>
            </w:r>
            <w:hyperlink r:id="rId10" w:history="1">
              <w:r w:rsidR="004E330D">
                <w:rPr>
                  <w:color w:val="0000FF"/>
                  <w:u w:val="single"/>
                </w:rPr>
                <w:t>Care Sector Workforce Development Strategy</w:t>
              </w:r>
            </w:hyperlink>
            <w:r w:rsidR="004E330D">
              <w:t xml:space="preserve"> and </w:t>
            </w:r>
            <w:hyperlink r:id="rId11" w:history="1">
              <w:r w:rsidR="00EC0A85">
                <w:rPr>
                  <w:color w:val="0000FF"/>
                  <w:u w:val="single"/>
                </w:rPr>
                <w:t>Delivery Plan</w:t>
              </w:r>
            </w:hyperlink>
            <w:r w:rsidR="003D680F">
              <w:t>.</w:t>
            </w:r>
          </w:p>
          <w:p w14:paraId="6BBDCC9B" w14:textId="77777777" w:rsidR="00C43495" w:rsidRPr="0057029A" w:rsidRDefault="00C43495">
            <w:pPr>
              <w:spacing w:line="240" w:lineRule="auto"/>
              <w:rPr>
                <w:b/>
                <w:bCs/>
                <w:color w:val="000000"/>
              </w:rPr>
            </w:pPr>
          </w:p>
          <w:p w14:paraId="756C94FC" w14:textId="302F9120" w:rsidR="000C7FB5" w:rsidRDefault="00C43495">
            <w:pPr>
              <w:spacing w:line="240" w:lineRule="auto"/>
              <w:rPr>
                <w:color w:val="000000"/>
              </w:rPr>
            </w:pPr>
            <w:r w:rsidRPr="0057029A">
              <w:rPr>
                <w:b/>
                <w:bCs/>
                <w:color w:val="000000"/>
              </w:rPr>
              <w:t>Inflationary pressures</w:t>
            </w:r>
            <w:r w:rsidR="003D680F">
              <w:rPr>
                <w:b/>
                <w:bCs/>
                <w:color w:val="000000"/>
              </w:rPr>
              <w:t>:</w:t>
            </w:r>
            <w:r w:rsidR="001D04F3">
              <w:rPr>
                <w:b/>
                <w:bCs/>
                <w:color w:val="000000"/>
              </w:rPr>
              <w:t xml:space="preserve"> </w:t>
            </w:r>
            <w:r w:rsidR="00EF4CD4" w:rsidRPr="00041F1A">
              <w:rPr>
                <w:color w:val="000000"/>
              </w:rPr>
              <w:t xml:space="preserve">22/23 has seen levels of inflation not seen for decades.  This has placed a significant burden on businesses nationwide including in the care sector, and a </w:t>
            </w:r>
            <w:r w:rsidR="000C7FB5" w:rsidRPr="00041F1A">
              <w:rPr>
                <w:color w:val="000000"/>
              </w:rPr>
              <w:t>cost-of-living</w:t>
            </w:r>
            <w:r w:rsidR="00EF4CD4" w:rsidRPr="00041F1A">
              <w:rPr>
                <w:color w:val="000000"/>
              </w:rPr>
              <w:t xml:space="preserve"> crisis for many staff working in sector.  As a result of these levels of inflation </w:t>
            </w:r>
            <w:r w:rsidR="001572AF" w:rsidRPr="00041F1A">
              <w:rPr>
                <w:color w:val="000000"/>
              </w:rPr>
              <w:t xml:space="preserve">the government announced an increase in the National Minimum wage of 9.7%.  Whilst this increase may partially ease the </w:t>
            </w:r>
            <w:r w:rsidR="000C7FB5" w:rsidRPr="00041F1A">
              <w:rPr>
                <w:color w:val="000000"/>
              </w:rPr>
              <w:t>cost-of-living</w:t>
            </w:r>
            <w:r w:rsidR="001572AF" w:rsidRPr="00041F1A">
              <w:rPr>
                <w:color w:val="000000"/>
              </w:rPr>
              <w:t xml:space="preserve"> burden on workers in the sector it further increases the pressure on the businesses paying the wages.  Consultation with the care home market revealed that it is not just the average increase in cost pressures that is increasing but that there is also increasing variation from provider to provider.  Increasing Agency Costs and Energy prices were two of the greatest concerns </w:t>
            </w:r>
            <w:r w:rsidR="00034F94" w:rsidRPr="00041F1A">
              <w:rPr>
                <w:color w:val="000000"/>
              </w:rPr>
              <w:t xml:space="preserve">amongst providers.  However, the impact that they have from provider to provider varies considerably.  For example, some providers are still on long term fixed contracts for energy bills and are not expecting to see an increase in 23/24 whilst others whose fixed term has recently come to an end may see an increase of up to 300% depending on when they had previously fixed their rates. </w:t>
            </w:r>
            <w:r w:rsidR="000C7FB5" w:rsidRPr="00041F1A">
              <w:rPr>
                <w:color w:val="000000"/>
              </w:rPr>
              <w:t>Similarly</w:t>
            </w:r>
            <w:r w:rsidR="00034F94" w:rsidRPr="00041F1A">
              <w:rPr>
                <w:color w:val="000000"/>
              </w:rPr>
              <w:t xml:space="preserve">, some homes do not use any agency </w:t>
            </w:r>
            <w:r w:rsidR="001D4B8A" w:rsidRPr="00041F1A">
              <w:rPr>
                <w:color w:val="000000"/>
              </w:rPr>
              <w:t xml:space="preserve">workers, whilst others have a heavy reliance on agency workers due to difficulties with recruitment and retention.  These providers are likely to face dual pressures of not only having to use agencies more but also in what they are asked to pay for it due to increased demand and increases in the National Minimum Wage.  </w:t>
            </w:r>
            <w:r w:rsidR="00034F94" w:rsidRPr="00041F1A">
              <w:rPr>
                <w:color w:val="000000"/>
              </w:rPr>
              <w:t xml:space="preserve"> </w:t>
            </w:r>
            <w:r w:rsidR="001D4B8A" w:rsidRPr="00041F1A">
              <w:rPr>
                <w:color w:val="000000"/>
              </w:rPr>
              <w:t xml:space="preserve">Analysis completed by the Council suggests that the average care home will see its costs increase by 9.8% and uplifts </w:t>
            </w:r>
            <w:r w:rsidR="000C7FB5">
              <w:rPr>
                <w:color w:val="000000"/>
              </w:rPr>
              <w:t>have</w:t>
            </w:r>
            <w:r w:rsidR="001D4B8A" w:rsidRPr="00041F1A">
              <w:rPr>
                <w:color w:val="000000"/>
              </w:rPr>
              <w:t xml:space="preserve"> b</w:t>
            </w:r>
            <w:r w:rsidR="005B6457">
              <w:rPr>
                <w:color w:val="000000"/>
              </w:rPr>
              <w:t>een</w:t>
            </w:r>
            <w:r w:rsidR="001D4B8A" w:rsidRPr="00041F1A">
              <w:rPr>
                <w:color w:val="000000"/>
              </w:rPr>
              <w:t xml:space="preserve"> granted to meet this</w:t>
            </w:r>
            <w:r w:rsidR="000C7FB5">
              <w:rPr>
                <w:color w:val="000000"/>
              </w:rPr>
              <w:t xml:space="preserve"> pressure</w:t>
            </w:r>
            <w:r w:rsidR="001D4B8A" w:rsidRPr="00041F1A">
              <w:rPr>
                <w:color w:val="000000"/>
              </w:rPr>
              <w:t xml:space="preserve">.  </w:t>
            </w:r>
          </w:p>
          <w:p w14:paraId="07D1A062" w14:textId="77777777" w:rsidR="000C7FB5" w:rsidRDefault="000C7FB5">
            <w:pPr>
              <w:spacing w:line="240" w:lineRule="auto"/>
              <w:rPr>
                <w:color w:val="000000"/>
              </w:rPr>
            </w:pPr>
          </w:p>
          <w:p w14:paraId="5AC6C062" w14:textId="79FDB0FA" w:rsidR="000C7FB5" w:rsidRDefault="000C7FB5">
            <w:pPr>
              <w:spacing w:line="240" w:lineRule="auto"/>
              <w:rPr>
                <w:color w:val="000000"/>
              </w:rPr>
            </w:pPr>
            <w:r>
              <w:rPr>
                <w:color w:val="000000"/>
              </w:rPr>
              <w:t xml:space="preserve">Additionally, </w:t>
            </w:r>
            <w:r w:rsidR="005B6457">
              <w:rPr>
                <w:color w:val="000000"/>
              </w:rPr>
              <w:t>to further close the gap between the current standard rate and the median FCOC rate output in the 22/23 exercise, an additional £10pw</w:t>
            </w:r>
            <w:r w:rsidR="000C16B4">
              <w:rPr>
                <w:color w:val="000000"/>
              </w:rPr>
              <w:t xml:space="preserve"> on top of the 9.8% increase has been granted.</w:t>
            </w:r>
          </w:p>
          <w:p w14:paraId="147B6980" w14:textId="77777777" w:rsidR="000C16B4" w:rsidRDefault="000C16B4">
            <w:pPr>
              <w:spacing w:line="240" w:lineRule="auto"/>
              <w:rPr>
                <w:color w:val="000000"/>
              </w:rPr>
            </w:pPr>
          </w:p>
          <w:p w14:paraId="08B7A43E" w14:textId="2DE4D983" w:rsidR="00EF4CD4" w:rsidRPr="00041F1A" w:rsidRDefault="0006381F">
            <w:pPr>
              <w:spacing w:line="240" w:lineRule="auto"/>
              <w:rPr>
                <w:color w:val="000000"/>
              </w:rPr>
            </w:pPr>
            <w:r w:rsidRPr="00041F1A">
              <w:rPr>
                <w:color w:val="000000"/>
              </w:rPr>
              <w:t>For providers whose cost pressures exceed any uplifts granted</w:t>
            </w:r>
            <w:r w:rsidR="000C16B4">
              <w:rPr>
                <w:color w:val="000000"/>
              </w:rPr>
              <w:t>, or who face high levels of vacancies,</w:t>
            </w:r>
            <w:r w:rsidRPr="00041F1A">
              <w:rPr>
                <w:color w:val="000000"/>
              </w:rPr>
              <w:t xml:space="preserve"> there is likely to be an increased risk of failure or a reduction in their ability to re-invest.  </w:t>
            </w:r>
          </w:p>
          <w:p w14:paraId="2A1246DD" w14:textId="77777777" w:rsidR="0006381F" w:rsidRPr="00041F1A" w:rsidRDefault="0006381F">
            <w:pPr>
              <w:spacing w:line="240" w:lineRule="auto"/>
              <w:rPr>
                <w:color w:val="000000"/>
              </w:rPr>
            </w:pPr>
          </w:p>
          <w:p w14:paraId="362C0E84" w14:textId="2A491E63" w:rsidR="0006381F" w:rsidRDefault="0006381F">
            <w:pPr>
              <w:spacing w:line="240" w:lineRule="auto"/>
              <w:rPr>
                <w:color w:val="000000"/>
              </w:rPr>
            </w:pPr>
            <w:r w:rsidRPr="000C16B4">
              <w:rPr>
                <w:b/>
                <w:bCs/>
                <w:color w:val="000000"/>
              </w:rPr>
              <w:t>Delays in Social Care Reform</w:t>
            </w:r>
            <w:r w:rsidR="005F141C">
              <w:rPr>
                <w:b/>
                <w:bCs/>
                <w:color w:val="000000"/>
              </w:rPr>
              <w:t xml:space="preserve">: </w:t>
            </w:r>
            <w:r w:rsidR="00A63F50" w:rsidRPr="00041F1A">
              <w:rPr>
                <w:color w:val="000000"/>
              </w:rPr>
              <w:t xml:space="preserve">Had section 18.3 of the Care Act come </w:t>
            </w:r>
            <w:r w:rsidR="006B7C33" w:rsidRPr="00041F1A">
              <w:rPr>
                <w:color w:val="000000"/>
              </w:rPr>
              <w:t>into effect this would have substantially reduced providers ability to achieve cross-</w:t>
            </w:r>
            <w:proofErr w:type="spellStart"/>
            <w:r w:rsidR="006B7C33" w:rsidRPr="00041F1A">
              <w:rPr>
                <w:color w:val="000000"/>
              </w:rPr>
              <w:t>subsidisation</w:t>
            </w:r>
            <w:proofErr w:type="spellEnd"/>
            <w:r w:rsidR="006B7C33" w:rsidRPr="00041F1A">
              <w:rPr>
                <w:color w:val="000000"/>
              </w:rPr>
              <w:t xml:space="preserve"> and may have led to some business models becoming unsustainable.  The delay in the implementation of th</w:t>
            </w:r>
            <w:r w:rsidR="006A5CCD">
              <w:rPr>
                <w:color w:val="000000"/>
              </w:rPr>
              <w:t xml:space="preserve">ese reforms </w:t>
            </w:r>
            <w:r w:rsidR="006B7C33" w:rsidRPr="00041F1A">
              <w:rPr>
                <w:color w:val="000000"/>
              </w:rPr>
              <w:t xml:space="preserve">has led to a delay in this risk.  We do not expect significant change in the supply and demand for Care Home placements as a result of the delays in Social Care Reform. </w:t>
            </w:r>
          </w:p>
          <w:p w14:paraId="70F0B718" w14:textId="77777777" w:rsidR="0070494C" w:rsidRDefault="0070494C">
            <w:pPr>
              <w:spacing w:line="240" w:lineRule="auto"/>
              <w:rPr>
                <w:color w:val="000000"/>
              </w:rPr>
            </w:pPr>
          </w:p>
          <w:p w14:paraId="36ED8295" w14:textId="00E39732" w:rsidR="000C16B4" w:rsidRPr="00041F1A" w:rsidRDefault="000C16B4">
            <w:pPr>
              <w:spacing w:line="240" w:lineRule="auto"/>
              <w:rPr>
                <w:color w:val="000000"/>
              </w:rPr>
            </w:pPr>
          </w:p>
        </w:tc>
      </w:tr>
      <w:tr w:rsidR="00731897" w14:paraId="784908F9"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249B639B" w14:textId="77777777" w:rsidR="00731897" w:rsidRPr="00041F1A" w:rsidRDefault="0070324C">
            <w:pPr>
              <w:spacing w:line="240" w:lineRule="auto"/>
              <w:rPr>
                <w:color w:val="000000"/>
              </w:rPr>
            </w:pPr>
            <w:r w:rsidRPr="00041F1A">
              <w:rPr>
                <w:rFonts w:eastAsia="Calibri"/>
                <w:b/>
                <w:bCs/>
                <w:color w:val="000000"/>
              </w:rPr>
              <w:lastRenderedPageBreak/>
              <w:t>1B: Assessment of current sustainability of the 18+ domiciliary care market</w:t>
            </w:r>
          </w:p>
        </w:tc>
      </w:tr>
      <w:tr w:rsidR="00B6797F" w14:paraId="382D44AE"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2F0429FB" w14:textId="77777777" w:rsidR="006A5CCD" w:rsidRDefault="006A5CCD" w:rsidP="00B6797F">
            <w:pPr>
              <w:spacing w:line="240" w:lineRule="auto"/>
              <w:rPr>
                <w:rFonts w:eastAsia="Calibri"/>
                <w:b/>
                <w:bCs/>
                <w:color w:val="000000"/>
              </w:rPr>
            </w:pPr>
          </w:p>
          <w:p w14:paraId="0F009A77" w14:textId="77777777" w:rsidR="00B6797F" w:rsidRDefault="00B6797F" w:rsidP="00B6797F">
            <w:pPr>
              <w:spacing w:line="240" w:lineRule="auto"/>
              <w:rPr>
                <w:rFonts w:eastAsia="Calibri"/>
                <w:b/>
                <w:bCs/>
                <w:color w:val="000000"/>
              </w:rPr>
            </w:pPr>
            <w:r w:rsidRPr="00041F1A">
              <w:rPr>
                <w:rFonts w:eastAsia="Calibri"/>
                <w:b/>
                <w:bCs/>
                <w:color w:val="000000"/>
              </w:rPr>
              <w:t>Market data</w:t>
            </w:r>
          </w:p>
          <w:p w14:paraId="6A13840C" w14:textId="0F21515E" w:rsidR="006E50F5" w:rsidRPr="00041F1A" w:rsidRDefault="00B6797F" w:rsidP="00B6797F">
            <w:pPr>
              <w:spacing w:line="240" w:lineRule="auto"/>
              <w:rPr>
                <w:rFonts w:eastAsia="Calibri"/>
                <w:color w:val="000000"/>
              </w:rPr>
            </w:pPr>
            <w:r w:rsidRPr="00041F1A">
              <w:rPr>
                <w:rFonts w:eastAsia="Calibri"/>
                <w:color w:val="000000"/>
              </w:rPr>
              <w:t>There is a paucity of market data</w:t>
            </w:r>
            <w:r w:rsidR="00612F4D" w:rsidRPr="00041F1A">
              <w:rPr>
                <w:rFonts w:eastAsia="Calibri"/>
                <w:color w:val="000000"/>
              </w:rPr>
              <w:t xml:space="preserve"> on domiciliary care services in Sheffield</w:t>
            </w:r>
            <w:r w:rsidR="006E50F5" w:rsidRPr="00041F1A">
              <w:rPr>
                <w:rFonts w:eastAsia="Calibri"/>
                <w:color w:val="000000"/>
              </w:rPr>
              <w:t>,</w:t>
            </w:r>
            <w:r w:rsidR="00612F4D" w:rsidRPr="00041F1A">
              <w:rPr>
                <w:rFonts w:eastAsia="Calibri"/>
                <w:color w:val="000000"/>
              </w:rPr>
              <w:t xml:space="preserve"> and nationally</w:t>
            </w:r>
            <w:r w:rsidR="006E50F5" w:rsidRPr="00041F1A">
              <w:rPr>
                <w:rFonts w:eastAsia="Calibri"/>
                <w:color w:val="000000"/>
              </w:rPr>
              <w:t>.</w:t>
            </w:r>
            <w:r w:rsidRPr="00041F1A">
              <w:rPr>
                <w:rFonts w:eastAsia="Calibri"/>
                <w:color w:val="000000"/>
              </w:rPr>
              <w:t xml:space="preserve"> A summary of </w:t>
            </w:r>
            <w:r w:rsidR="00612F4D" w:rsidRPr="00041F1A">
              <w:rPr>
                <w:rFonts w:eastAsia="Calibri"/>
                <w:color w:val="000000"/>
              </w:rPr>
              <w:t xml:space="preserve">such </w:t>
            </w:r>
            <w:r w:rsidRPr="00041F1A">
              <w:rPr>
                <w:rFonts w:eastAsia="Calibri"/>
                <w:color w:val="000000"/>
              </w:rPr>
              <w:t>supply side and demand side data</w:t>
            </w:r>
            <w:r w:rsidR="006E50F5" w:rsidRPr="00041F1A">
              <w:rPr>
                <w:rFonts w:eastAsia="Calibri"/>
                <w:color w:val="000000"/>
              </w:rPr>
              <w:t xml:space="preserve"> as exist</w:t>
            </w:r>
            <w:r w:rsidRPr="00041F1A">
              <w:rPr>
                <w:rFonts w:eastAsia="Calibri"/>
                <w:color w:val="000000"/>
              </w:rPr>
              <w:t xml:space="preserve"> is presented in Appendix Table </w:t>
            </w:r>
            <w:r w:rsidR="00F15AEF" w:rsidRPr="00041F1A">
              <w:rPr>
                <w:rFonts w:eastAsia="Calibri"/>
                <w:color w:val="000000"/>
              </w:rPr>
              <w:t>7</w:t>
            </w:r>
            <w:r w:rsidRPr="00041F1A">
              <w:rPr>
                <w:rFonts w:eastAsia="Calibri"/>
                <w:color w:val="000000"/>
              </w:rPr>
              <w:t>. Key items include:</w:t>
            </w:r>
          </w:p>
          <w:p w14:paraId="5812CD27" w14:textId="5794C9FD" w:rsidR="00B6797F" w:rsidRPr="00041F1A" w:rsidRDefault="007E1403" w:rsidP="00B6797F">
            <w:pPr>
              <w:pStyle w:val="ListParagraph"/>
              <w:numPr>
                <w:ilvl w:val="0"/>
                <w:numId w:val="2"/>
              </w:numPr>
              <w:spacing w:line="240" w:lineRule="auto"/>
              <w:rPr>
                <w:rFonts w:eastAsia="Calibri"/>
                <w:color w:val="000000"/>
              </w:rPr>
            </w:pPr>
            <w:r w:rsidRPr="00041F1A">
              <w:rPr>
                <w:rFonts w:eastAsia="Calibri"/>
                <w:color w:val="000000"/>
              </w:rPr>
              <w:lastRenderedPageBreak/>
              <w:t>The great majority (95</w:t>
            </w:r>
            <w:r w:rsidR="00F15AEF" w:rsidRPr="00041F1A">
              <w:rPr>
                <w:rFonts w:eastAsia="Calibri"/>
                <w:color w:val="000000"/>
              </w:rPr>
              <w:t>%</w:t>
            </w:r>
            <w:r w:rsidRPr="00041F1A">
              <w:rPr>
                <w:rFonts w:eastAsia="Calibri"/>
                <w:color w:val="000000"/>
              </w:rPr>
              <w:t>) of domiciliary care services operating in Sheffield are for-profit (England: 87%), the remainder being not-for-profit</w:t>
            </w:r>
            <w:r w:rsidR="0070494C">
              <w:rPr>
                <w:rFonts w:eastAsia="Calibri"/>
                <w:color w:val="000000"/>
              </w:rPr>
              <w:t>.</w:t>
            </w:r>
          </w:p>
          <w:p w14:paraId="0E8EEC6A" w14:textId="0366904C" w:rsidR="007E1403" w:rsidRPr="00041F1A" w:rsidRDefault="007E1403" w:rsidP="00B6797F">
            <w:pPr>
              <w:pStyle w:val="ListParagraph"/>
              <w:numPr>
                <w:ilvl w:val="0"/>
                <w:numId w:val="2"/>
              </w:numPr>
              <w:spacing w:line="240" w:lineRule="auto"/>
              <w:rPr>
                <w:rFonts w:eastAsia="Calibri"/>
                <w:color w:val="000000"/>
              </w:rPr>
            </w:pPr>
            <w:r w:rsidRPr="00041F1A">
              <w:rPr>
                <w:rFonts w:eastAsia="Calibri"/>
                <w:color w:val="000000"/>
              </w:rPr>
              <w:t>T</w:t>
            </w:r>
            <w:r w:rsidR="00F64A44" w:rsidRPr="00041F1A">
              <w:rPr>
                <w:rFonts w:eastAsia="Calibri"/>
                <w:color w:val="000000"/>
              </w:rPr>
              <w:t>he average scale of services is quite modest. T</w:t>
            </w:r>
            <w:r w:rsidRPr="00041F1A">
              <w:rPr>
                <w:rFonts w:eastAsia="Calibri"/>
                <w:color w:val="000000"/>
              </w:rPr>
              <w:t>here are an estimated 34 service users per domiciliary care service provider in Sheffield (England: 39). These statistics are estimated by aggregating the number of services users stated in CQC inspection reports</w:t>
            </w:r>
            <w:r w:rsidR="0070494C">
              <w:rPr>
                <w:rFonts w:eastAsia="Calibri"/>
                <w:color w:val="000000"/>
              </w:rPr>
              <w:t>.</w:t>
            </w:r>
          </w:p>
          <w:p w14:paraId="5074B411" w14:textId="22A34343" w:rsidR="007E1403" w:rsidRPr="00041F1A" w:rsidRDefault="007E1403" w:rsidP="00B6797F">
            <w:pPr>
              <w:pStyle w:val="ListParagraph"/>
              <w:numPr>
                <w:ilvl w:val="0"/>
                <w:numId w:val="2"/>
              </w:numPr>
              <w:spacing w:line="240" w:lineRule="auto"/>
              <w:rPr>
                <w:rFonts w:eastAsia="Calibri"/>
                <w:color w:val="000000"/>
              </w:rPr>
            </w:pPr>
            <w:r w:rsidRPr="00041F1A">
              <w:rPr>
                <w:rFonts w:eastAsia="Calibri"/>
                <w:color w:val="000000"/>
              </w:rPr>
              <w:t>Based on service users per service, as calculated from CQC inspection reports, it is estimated that there are a total of about 3,200 domiciliary care service users in Sheffield (all funding sources)</w:t>
            </w:r>
            <w:r w:rsidR="0070494C">
              <w:rPr>
                <w:rFonts w:eastAsia="Calibri"/>
                <w:color w:val="000000"/>
              </w:rPr>
              <w:t>.</w:t>
            </w:r>
          </w:p>
          <w:p w14:paraId="7351E5B5" w14:textId="2D1B3C20" w:rsidR="00AA0CD2" w:rsidRPr="00041F1A" w:rsidRDefault="00AA0CD2" w:rsidP="00B6797F">
            <w:pPr>
              <w:pStyle w:val="ListParagraph"/>
              <w:numPr>
                <w:ilvl w:val="0"/>
                <w:numId w:val="2"/>
              </w:numPr>
              <w:spacing w:line="240" w:lineRule="auto"/>
              <w:rPr>
                <w:rFonts w:eastAsia="Calibri"/>
                <w:color w:val="000000"/>
              </w:rPr>
            </w:pPr>
            <w:r w:rsidRPr="00041F1A">
              <w:rPr>
                <w:rFonts w:eastAsia="Calibri"/>
                <w:color w:val="000000"/>
              </w:rPr>
              <w:t>Th</w:t>
            </w:r>
            <w:r w:rsidR="00F64A44" w:rsidRPr="00041F1A">
              <w:rPr>
                <w:rFonts w:eastAsia="Calibri"/>
                <w:color w:val="000000"/>
              </w:rPr>
              <w:t>is is equivalent to</w:t>
            </w:r>
            <w:r w:rsidRPr="00041F1A">
              <w:rPr>
                <w:rFonts w:eastAsia="Calibri"/>
                <w:color w:val="000000"/>
              </w:rPr>
              <w:t xml:space="preserve"> 10 domiciliary service users per 1,000 population aged 18+ in Sheffield (England: also 10%)</w:t>
            </w:r>
            <w:r w:rsidR="0070494C">
              <w:rPr>
                <w:rFonts w:eastAsia="Calibri"/>
                <w:color w:val="000000"/>
              </w:rPr>
              <w:t>.</w:t>
            </w:r>
          </w:p>
          <w:p w14:paraId="16C51C6A" w14:textId="77CB6B70" w:rsidR="007E1403" w:rsidRPr="00041F1A" w:rsidRDefault="007E1403" w:rsidP="00B6797F">
            <w:pPr>
              <w:pStyle w:val="ListParagraph"/>
              <w:numPr>
                <w:ilvl w:val="0"/>
                <w:numId w:val="2"/>
              </w:numPr>
              <w:spacing w:line="240" w:lineRule="auto"/>
              <w:rPr>
                <w:rFonts w:eastAsia="Calibri"/>
                <w:color w:val="000000"/>
              </w:rPr>
            </w:pPr>
            <w:r w:rsidRPr="00041F1A">
              <w:rPr>
                <w:rFonts w:eastAsia="Calibri"/>
                <w:color w:val="000000"/>
              </w:rPr>
              <w:t>The council supports 2,370 service users with domiciliary care packages (October 22)</w:t>
            </w:r>
            <w:r w:rsidR="0070494C">
              <w:rPr>
                <w:rFonts w:eastAsia="Calibri"/>
                <w:color w:val="000000"/>
              </w:rPr>
              <w:t>.</w:t>
            </w:r>
          </w:p>
          <w:p w14:paraId="45D785A1" w14:textId="155F563C" w:rsidR="00AA0CD2" w:rsidRPr="00041F1A" w:rsidRDefault="00AA0CD2" w:rsidP="00B6797F">
            <w:pPr>
              <w:pStyle w:val="ListParagraph"/>
              <w:numPr>
                <w:ilvl w:val="0"/>
                <w:numId w:val="2"/>
              </w:numPr>
              <w:spacing w:line="240" w:lineRule="auto"/>
              <w:rPr>
                <w:rFonts w:eastAsia="Calibri"/>
                <w:color w:val="000000"/>
              </w:rPr>
            </w:pPr>
            <w:r w:rsidRPr="00041F1A">
              <w:rPr>
                <w:rFonts w:eastAsia="Calibri"/>
                <w:color w:val="000000"/>
              </w:rPr>
              <w:t>By subtraction, there are an estimated 860 private payers and NHS-funded domiciliary care service users, being 27% of service users from all funding sources (England: 39%), though this estimate may be subject to substantial error</w:t>
            </w:r>
            <w:r w:rsidR="0070494C">
              <w:rPr>
                <w:rFonts w:eastAsia="Calibri"/>
                <w:color w:val="000000"/>
              </w:rPr>
              <w:t>.</w:t>
            </w:r>
          </w:p>
          <w:p w14:paraId="696D76E4" w14:textId="072EDED6" w:rsidR="00B6797F" w:rsidRPr="00041F1A" w:rsidRDefault="00B6797F" w:rsidP="00F64A44">
            <w:pPr>
              <w:pStyle w:val="ListParagraph"/>
              <w:numPr>
                <w:ilvl w:val="0"/>
                <w:numId w:val="2"/>
              </w:numPr>
              <w:spacing w:line="240" w:lineRule="auto"/>
              <w:rPr>
                <w:rFonts w:eastAsia="Calibri"/>
                <w:color w:val="000000"/>
              </w:rPr>
            </w:pPr>
            <w:r w:rsidRPr="00041F1A">
              <w:rPr>
                <w:rFonts w:eastAsia="Calibri"/>
                <w:color w:val="000000"/>
              </w:rPr>
              <w:t xml:space="preserve">The </w:t>
            </w:r>
            <w:r w:rsidR="00AA0CD2" w:rsidRPr="00041F1A">
              <w:rPr>
                <w:rFonts w:eastAsia="Calibri"/>
                <w:color w:val="000000"/>
              </w:rPr>
              <w:t xml:space="preserve">domiciliary </w:t>
            </w:r>
            <w:r w:rsidRPr="00041F1A">
              <w:rPr>
                <w:rFonts w:eastAsia="Calibri"/>
                <w:color w:val="000000"/>
              </w:rPr>
              <w:t xml:space="preserve">sector is competitive (or fragmented, from another perspective). </w:t>
            </w:r>
            <w:r w:rsidR="00F64A44" w:rsidRPr="00041F1A">
              <w:rPr>
                <w:rFonts w:eastAsia="Calibri"/>
                <w:color w:val="000000"/>
              </w:rPr>
              <w:t>City &amp; County Healthcare Group Ltd, the national domiciliary care market leader, is believed to have about 2</w:t>
            </w:r>
            <w:r w:rsidR="003D20E2" w:rsidRPr="00041F1A">
              <w:rPr>
                <w:rFonts w:eastAsia="Calibri"/>
                <w:color w:val="000000"/>
              </w:rPr>
              <w:t>6</w:t>
            </w:r>
            <w:r w:rsidR="00F64A44" w:rsidRPr="00041F1A">
              <w:rPr>
                <w:rFonts w:eastAsia="Calibri"/>
                <w:color w:val="000000"/>
              </w:rPr>
              <w:t xml:space="preserve">0 </w:t>
            </w:r>
            <w:r w:rsidR="003D20E2" w:rsidRPr="00041F1A">
              <w:rPr>
                <w:rFonts w:eastAsia="Calibri"/>
                <w:color w:val="000000"/>
              </w:rPr>
              <w:t xml:space="preserve">council-funded </w:t>
            </w:r>
            <w:r w:rsidR="00F64A44" w:rsidRPr="00041F1A">
              <w:rPr>
                <w:rFonts w:eastAsia="Calibri"/>
                <w:color w:val="000000"/>
              </w:rPr>
              <w:t xml:space="preserve">service users in Sheffield, giving it an </w:t>
            </w:r>
            <w:r w:rsidR="003D20E2" w:rsidRPr="00041F1A">
              <w:rPr>
                <w:rFonts w:eastAsia="Calibri"/>
                <w:color w:val="000000"/>
              </w:rPr>
              <w:t>11</w:t>
            </w:r>
            <w:r w:rsidR="00F64A44" w:rsidRPr="00041F1A">
              <w:rPr>
                <w:rFonts w:eastAsia="Calibri"/>
                <w:color w:val="000000"/>
              </w:rPr>
              <w:t xml:space="preserve">% share of Sheffield’s </w:t>
            </w:r>
            <w:r w:rsidR="003D20E2" w:rsidRPr="00041F1A">
              <w:rPr>
                <w:rFonts w:eastAsia="Calibri"/>
                <w:color w:val="000000"/>
              </w:rPr>
              <w:t xml:space="preserve">council-funded </w:t>
            </w:r>
            <w:r w:rsidR="00F64A44" w:rsidRPr="00041F1A">
              <w:rPr>
                <w:rFonts w:eastAsia="Calibri"/>
                <w:color w:val="000000"/>
              </w:rPr>
              <w:t xml:space="preserve">domiciliary care market. </w:t>
            </w:r>
            <w:r w:rsidR="003D20E2" w:rsidRPr="00041F1A">
              <w:rPr>
                <w:rFonts w:eastAsia="Calibri"/>
                <w:color w:val="000000"/>
              </w:rPr>
              <w:t>There are four other</w:t>
            </w:r>
            <w:r w:rsidR="00F64A44" w:rsidRPr="00041F1A">
              <w:rPr>
                <w:rFonts w:eastAsia="Calibri"/>
                <w:color w:val="000000"/>
              </w:rPr>
              <w:t xml:space="preserve"> provider</w:t>
            </w:r>
            <w:r w:rsidR="003D20E2" w:rsidRPr="00041F1A">
              <w:rPr>
                <w:rFonts w:eastAsia="Calibri"/>
                <w:color w:val="000000"/>
              </w:rPr>
              <w:t>s</w:t>
            </w:r>
            <w:r w:rsidR="00F64A44" w:rsidRPr="00041F1A">
              <w:rPr>
                <w:rFonts w:eastAsia="Calibri"/>
                <w:color w:val="000000"/>
              </w:rPr>
              <w:t xml:space="preserve"> </w:t>
            </w:r>
            <w:r w:rsidR="003D20E2" w:rsidRPr="00041F1A">
              <w:rPr>
                <w:rFonts w:eastAsia="Calibri"/>
                <w:color w:val="000000"/>
              </w:rPr>
              <w:t>with</w:t>
            </w:r>
            <w:r w:rsidR="00F64A44" w:rsidRPr="00041F1A">
              <w:rPr>
                <w:rFonts w:eastAsia="Calibri"/>
                <w:color w:val="000000"/>
              </w:rPr>
              <w:t xml:space="preserve"> a significant (&gt;5%) market share.</w:t>
            </w:r>
          </w:p>
          <w:p w14:paraId="520350A7" w14:textId="77777777" w:rsidR="00964BA0" w:rsidRPr="00041F1A" w:rsidRDefault="00964BA0" w:rsidP="003D6120">
            <w:pPr>
              <w:spacing w:line="240" w:lineRule="auto"/>
              <w:rPr>
                <w:rFonts w:eastAsia="Calibri"/>
                <w:b/>
                <w:bCs/>
                <w:color w:val="000000"/>
              </w:rPr>
            </w:pPr>
          </w:p>
          <w:p w14:paraId="68A8A448" w14:textId="77777777" w:rsidR="002E5DBA" w:rsidRDefault="003D6120" w:rsidP="003D6120">
            <w:pPr>
              <w:spacing w:line="240" w:lineRule="auto"/>
            </w:pPr>
            <w:r w:rsidRPr="00041F1A">
              <w:rPr>
                <w:rFonts w:eastAsia="Calibri"/>
                <w:b/>
                <w:bCs/>
                <w:color w:val="000000"/>
              </w:rPr>
              <w:t xml:space="preserve">Sufficiency of supply to meet demand: </w:t>
            </w:r>
            <w:r w:rsidRPr="00041F1A">
              <w:rPr>
                <w:rFonts w:eastAsia="Calibri"/>
                <w:color w:val="000000"/>
              </w:rPr>
              <w:t>Sheffield City Council considers that the number of domiciliary care services is adequate</w:t>
            </w:r>
            <w:r w:rsidR="00F15AEF" w:rsidRPr="00041F1A">
              <w:rPr>
                <w:rFonts w:eastAsia="Calibri"/>
                <w:color w:val="000000"/>
              </w:rPr>
              <w:t>,</w:t>
            </w:r>
            <w:r w:rsidRPr="00041F1A">
              <w:rPr>
                <w:rFonts w:eastAsia="Calibri"/>
                <w:color w:val="000000"/>
              </w:rPr>
              <w:t xml:space="preserve"> currently and for the foreseeable future, though the services struggle to recruit and retain staff in the present economic climate, and the council would wish to see some of the existing services re-positioned to offer more specialist care.</w:t>
            </w:r>
            <w:r w:rsidR="002E5DBA">
              <w:t xml:space="preserve"> There are </w:t>
            </w:r>
            <w:proofErr w:type="gramStart"/>
            <w:r w:rsidR="002E5DBA">
              <w:t>a large number of</w:t>
            </w:r>
            <w:proofErr w:type="gramEnd"/>
            <w:r w:rsidR="002E5DBA">
              <w:t xml:space="preserve"> homecare providers in Sheffield. The Council contracts with over 85 providers, 35 of which are operating within our Framework contract. </w:t>
            </w:r>
          </w:p>
          <w:p w14:paraId="7FB15535" w14:textId="77777777" w:rsidR="002E5DBA" w:rsidRDefault="002E5DBA" w:rsidP="003D6120">
            <w:pPr>
              <w:spacing w:line="240" w:lineRule="auto"/>
            </w:pPr>
          </w:p>
          <w:p w14:paraId="26CF60AA" w14:textId="77777777" w:rsidR="002E5DBA" w:rsidRDefault="002E5DBA" w:rsidP="003D6120">
            <w:pPr>
              <w:spacing w:line="240" w:lineRule="auto"/>
            </w:pPr>
            <w:r>
              <w:t xml:space="preserve">The homecare market in Sheffield has </w:t>
            </w:r>
            <w:proofErr w:type="spellStart"/>
            <w:r>
              <w:t>stabilised</w:t>
            </w:r>
            <w:proofErr w:type="spellEnd"/>
            <w:r>
              <w:t xml:space="preserve">, and we are seeing a sustained reduction in the number of packages waiting and improved timeliness of pick up. We are also continuing to support hospital discharge well and have more providers keen to support this pathway. </w:t>
            </w:r>
          </w:p>
          <w:p w14:paraId="5859C5AE" w14:textId="77777777" w:rsidR="002E5DBA" w:rsidRDefault="002E5DBA" w:rsidP="003D6120">
            <w:pPr>
              <w:spacing w:line="240" w:lineRule="auto"/>
            </w:pPr>
          </w:p>
          <w:p w14:paraId="6DBFB292" w14:textId="3911037D" w:rsidR="00B6797F" w:rsidRPr="00041F1A" w:rsidRDefault="003D6120" w:rsidP="00B6797F">
            <w:pPr>
              <w:spacing w:line="240" w:lineRule="auto"/>
              <w:rPr>
                <w:rFonts w:eastAsia="Calibri"/>
                <w:color w:val="000000"/>
              </w:rPr>
            </w:pPr>
            <w:r w:rsidRPr="00041F1A">
              <w:rPr>
                <w:rFonts w:eastAsia="Calibri"/>
                <w:b/>
                <w:bCs/>
                <w:color w:val="000000"/>
              </w:rPr>
              <w:t>Council-paid fee rates</w:t>
            </w:r>
            <w:r w:rsidR="005C5A6D">
              <w:rPr>
                <w:rFonts w:eastAsia="Calibri"/>
                <w:b/>
                <w:bCs/>
                <w:color w:val="000000"/>
              </w:rPr>
              <w:t xml:space="preserve">: </w:t>
            </w:r>
            <w:r w:rsidR="00B6797F" w:rsidRPr="00041F1A">
              <w:rPr>
                <w:rFonts w:eastAsia="Calibri"/>
                <w:color w:val="000000"/>
              </w:rPr>
              <w:t xml:space="preserve">The profitability of the care home sector across Sheffield is not transparent because group operators are not confined to Sheffield and </w:t>
            </w:r>
            <w:r w:rsidR="002115DE" w:rsidRPr="00041F1A">
              <w:rPr>
                <w:rFonts w:eastAsia="Calibri"/>
                <w:color w:val="000000"/>
              </w:rPr>
              <w:t>the great majority of</w:t>
            </w:r>
            <w:r w:rsidR="00B6797F" w:rsidRPr="00041F1A">
              <w:rPr>
                <w:rFonts w:eastAsia="Calibri"/>
                <w:color w:val="000000"/>
              </w:rPr>
              <w:t xml:space="preserve"> providers do not post profit and loss accounts at Companies House. There are </w:t>
            </w:r>
            <w:r w:rsidR="002115DE" w:rsidRPr="00041F1A">
              <w:rPr>
                <w:rFonts w:eastAsia="Calibri"/>
                <w:color w:val="000000"/>
              </w:rPr>
              <w:t>no</w:t>
            </w:r>
            <w:r w:rsidR="00B6797F" w:rsidRPr="00041F1A">
              <w:rPr>
                <w:rFonts w:eastAsia="Calibri"/>
                <w:color w:val="000000"/>
              </w:rPr>
              <w:t xml:space="preserve"> operators which can be cited as markers of profitability</w:t>
            </w:r>
            <w:r w:rsidR="002115DE" w:rsidRPr="00041F1A">
              <w:rPr>
                <w:rFonts w:eastAsia="Calibri"/>
                <w:color w:val="000000"/>
              </w:rPr>
              <w:t xml:space="preserve"> specifically in Sheffield</w:t>
            </w:r>
            <w:r w:rsidR="00B6797F" w:rsidRPr="00041F1A">
              <w:rPr>
                <w:rFonts w:eastAsia="Calibri"/>
                <w:color w:val="000000"/>
              </w:rPr>
              <w:t>.</w:t>
            </w:r>
          </w:p>
          <w:p w14:paraId="2FA05595" w14:textId="3F36ED44" w:rsidR="002E5DBA" w:rsidRPr="002E5DBA" w:rsidRDefault="002E5DBA" w:rsidP="002E5DBA">
            <w:pPr>
              <w:spacing w:line="240" w:lineRule="auto"/>
              <w:rPr>
                <w:color w:val="000000"/>
              </w:rPr>
            </w:pPr>
            <w:r>
              <w:t>Sheffield City Council rates for homecare have historically been comparable with regional rates. In the current contract, there are variable rates across the city. The increase to £21ph will therefore represent a variable percentage increase for different contract areas.</w:t>
            </w:r>
          </w:p>
          <w:p w14:paraId="210857A8" w14:textId="77777777" w:rsidR="00964BA0" w:rsidRPr="00041F1A" w:rsidRDefault="00964BA0" w:rsidP="00B6797F">
            <w:pPr>
              <w:spacing w:line="240" w:lineRule="auto"/>
              <w:rPr>
                <w:rFonts w:eastAsia="Calibri"/>
                <w:b/>
                <w:bCs/>
                <w:color w:val="000000"/>
              </w:rPr>
            </w:pPr>
          </w:p>
          <w:p w14:paraId="23C41EE5" w14:textId="25CE3432" w:rsidR="00B6797F" w:rsidRPr="00041F1A" w:rsidRDefault="00B6797F" w:rsidP="00B6797F">
            <w:pPr>
              <w:spacing w:line="240" w:lineRule="auto"/>
              <w:rPr>
                <w:color w:val="000000"/>
              </w:rPr>
            </w:pPr>
            <w:r w:rsidRPr="00041F1A">
              <w:rPr>
                <w:rFonts w:eastAsia="Calibri"/>
                <w:b/>
                <w:bCs/>
                <w:color w:val="000000"/>
              </w:rPr>
              <w:t>Market diversity</w:t>
            </w:r>
            <w:r w:rsidR="005C5A6D">
              <w:rPr>
                <w:rFonts w:eastAsia="Calibri"/>
                <w:b/>
                <w:bCs/>
                <w:color w:val="000000"/>
              </w:rPr>
              <w:t xml:space="preserve">: </w:t>
            </w:r>
            <w:r w:rsidR="002115DE" w:rsidRPr="00041F1A">
              <w:rPr>
                <w:rFonts w:eastAsia="Calibri"/>
                <w:color w:val="000000"/>
              </w:rPr>
              <w:t>As with care homes, t</w:t>
            </w:r>
            <w:r w:rsidRPr="00041F1A">
              <w:rPr>
                <w:rFonts w:eastAsia="Calibri"/>
                <w:color w:val="000000"/>
              </w:rPr>
              <w:t xml:space="preserve">he principal </w:t>
            </w:r>
            <w:r w:rsidR="002115DE" w:rsidRPr="00041F1A">
              <w:rPr>
                <w:rFonts w:eastAsia="Calibri"/>
                <w:color w:val="000000"/>
              </w:rPr>
              <w:t>domiciliary care</w:t>
            </w:r>
            <w:r w:rsidRPr="00041F1A">
              <w:rPr>
                <w:rFonts w:eastAsia="Calibri"/>
                <w:color w:val="000000"/>
              </w:rPr>
              <w:t xml:space="preserve"> market diversity deficit in Sheffield is a lack of sufficient specialist provision for more people with complex behaviours including dementia. </w:t>
            </w:r>
          </w:p>
          <w:p w14:paraId="35E1F190" w14:textId="77777777" w:rsidR="00B6797F" w:rsidRPr="00041F1A" w:rsidRDefault="00B6797F" w:rsidP="00B6797F">
            <w:pPr>
              <w:spacing w:line="240" w:lineRule="auto"/>
              <w:rPr>
                <w:rFonts w:eastAsia="Calibri"/>
                <w:color w:val="000000"/>
              </w:rPr>
            </w:pPr>
          </w:p>
          <w:p w14:paraId="1834B88A" w14:textId="5AA1EEF1" w:rsidR="00B6797F" w:rsidRPr="00041F1A" w:rsidRDefault="00B6797F" w:rsidP="00B6797F">
            <w:pPr>
              <w:spacing w:line="240" w:lineRule="auto"/>
              <w:rPr>
                <w:rFonts w:eastAsia="Calibri"/>
                <w:color w:val="000000"/>
              </w:rPr>
            </w:pPr>
            <w:r w:rsidRPr="00041F1A">
              <w:rPr>
                <w:rFonts w:eastAsia="Calibri"/>
                <w:b/>
                <w:bCs/>
                <w:color w:val="000000"/>
              </w:rPr>
              <w:t>Quality of care:</w:t>
            </w:r>
            <w:r w:rsidRPr="00041F1A">
              <w:rPr>
                <w:rFonts w:eastAsia="Calibri"/>
                <w:color w:val="000000"/>
              </w:rPr>
              <w:t xml:space="preserve"> </w:t>
            </w:r>
            <w:r w:rsidR="002115DE" w:rsidRPr="00041F1A">
              <w:rPr>
                <w:rFonts w:eastAsia="Calibri"/>
                <w:color w:val="000000"/>
              </w:rPr>
              <w:t xml:space="preserve">The CQC ratings of Sheffield’s domiciliary care services are below average. </w:t>
            </w:r>
            <w:r w:rsidRPr="00041F1A">
              <w:rPr>
                <w:rFonts w:eastAsia="Calibri"/>
                <w:color w:val="000000"/>
              </w:rPr>
              <w:t xml:space="preserve">As </w:t>
            </w:r>
            <w:r w:rsidR="00501DB1" w:rsidRPr="00041F1A">
              <w:rPr>
                <w:rFonts w:eastAsia="Calibri"/>
                <w:color w:val="000000"/>
              </w:rPr>
              <w:t>of</w:t>
            </w:r>
            <w:r w:rsidRPr="00041F1A">
              <w:rPr>
                <w:rFonts w:eastAsia="Calibri"/>
                <w:color w:val="000000"/>
              </w:rPr>
              <w:t xml:space="preserve"> October 2022, </w:t>
            </w:r>
            <w:r w:rsidR="00C43495" w:rsidRPr="00041F1A">
              <w:rPr>
                <w:rFonts w:eastAsia="Calibri"/>
                <w:color w:val="000000"/>
              </w:rPr>
              <w:t>81.1</w:t>
            </w:r>
            <w:r w:rsidRPr="00041F1A">
              <w:rPr>
                <w:rFonts w:eastAsia="Calibri"/>
                <w:color w:val="000000"/>
              </w:rPr>
              <w:t xml:space="preserve">% </w:t>
            </w:r>
            <w:r w:rsidR="00C43495" w:rsidRPr="00041F1A">
              <w:rPr>
                <w:rFonts w:eastAsia="Calibri"/>
                <w:color w:val="000000"/>
              </w:rPr>
              <w:t xml:space="preserve">of services with a rating </w:t>
            </w:r>
            <w:r w:rsidRPr="00041F1A">
              <w:rPr>
                <w:rFonts w:eastAsia="Calibri"/>
                <w:color w:val="000000"/>
              </w:rPr>
              <w:t xml:space="preserve">were rated Good or Outstanding at their most recent inspection </w:t>
            </w:r>
            <w:r w:rsidR="007977D1" w:rsidRPr="00041F1A">
              <w:rPr>
                <w:rFonts w:eastAsia="Calibri"/>
                <w:color w:val="000000"/>
              </w:rPr>
              <w:t>(England: 8</w:t>
            </w:r>
            <w:r w:rsidR="00131592" w:rsidRPr="00041F1A">
              <w:rPr>
                <w:rFonts w:eastAsia="Calibri"/>
                <w:color w:val="000000"/>
              </w:rPr>
              <w:t>5</w:t>
            </w:r>
            <w:r w:rsidR="00C43495" w:rsidRPr="00041F1A">
              <w:rPr>
                <w:rFonts w:eastAsia="Calibri"/>
                <w:color w:val="000000"/>
              </w:rPr>
              <w:t>.1</w:t>
            </w:r>
            <w:r w:rsidR="007977D1" w:rsidRPr="00041F1A">
              <w:rPr>
                <w:rFonts w:eastAsia="Calibri"/>
                <w:color w:val="000000"/>
              </w:rPr>
              <w:t>%).</w:t>
            </w:r>
          </w:p>
          <w:p w14:paraId="21065A6A" w14:textId="77777777" w:rsidR="00964BA0" w:rsidRPr="00041F1A" w:rsidRDefault="00964BA0" w:rsidP="00B6797F">
            <w:pPr>
              <w:spacing w:line="240" w:lineRule="auto"/>
              <w:rPr>
                <w:color w:val="000000"/>
              </w:rPr>
            </w:pPr>
          </w:p>
          <w:p w14:paraId="0A7BA779" w14:textId="77777777" w:rsidR="002E5DBA" w:rsidRDefault="00964BA0" w:rsidP="002E5DBA">
            <w:pPr>
              <w:spacing w:line="240" w:lineRule="auto"/>
            </w:pPr>
            <w:r w:rsidRPr="00041F1A">
              <w:rPr>
                <w:b/>
                <w:bCs/>
                <w:color w:val="000000"/>
              </w:rPr>
              <w:t>Workforce</w:t>
            </w:r>
            <w:r w:rsidR="005C5A6D">
              <w:rPr>
                <w:b/>
                <w:bCs/>
                <w:color w:val="000000"/>
              </w:rPr>
              <w:t xml:space="preserve">: </w:t>
            </w:r>
            <w:r w:rsidRPr="00041F1A">
              <w:rPr>
                <w:color w:val="000000"/>
              </w:rPr>
              <w:t>As noted in Section 1, workforce represents the principal sustainability challenge to Sheffield’s domiciliary care sector</w:t>
            </w:r>
            <w:r w:rsidR="00550F15">
              <w:rPr>
                <w:color w:val="000000"/>
              </w:rPr>
              <w:t>.</w:t>
            </w:r>
            <w:r w:rsidR="002E5DBA">
              <w:rPr>
                <w:color w:val="000000"/>
              </w:rPr>
              <w:t xml:space="preserve"> </w:t>
            </w:r>
            <w:r w:rsidR="002E5DBA">
              <w:t xml:space="preserve">Achieving a sustainable and sufficient workforce continues to be a key pressure for Homecare providers. High staff turnover and workforce instability impacts </w:t>
            </w:r>
            <w:r w:rsidR="002E5DBA">
              <w:lastRenderedPageBreak/>
              <w:t xml:space="preserve">negatively on the experiences of people receiving home care; increases changes in support provision; causes delay in support pick up; reduces the quality of care; and increases provider’s costs. </w:t>
            </w:r>
          </w:p>
          <w:p w14:paraId="57FAEE67" w14:textId="77777777" w:rsidR="00964BA0" w:rsidRPr="00041F1A" w:rsidRDefault="00964BA0" w:rsidP="00B6797F">
            <w:pPr>
              <w:spacing w:line="240" w:lineRule="auto"/>
              <w:rPr>
                <w:color w:val="000000"/>
              </w:rPr>
            </w:pPr>
          </w:p>
          <w:p w14:paraId="26AF8FD2" w14:textId="13417EC8" w:rsidR="00964BA0" w:rsidRPr="00041F1A" w:rsidRDefault="00964BA0" w:rsidP="00B6797F">
            <w:pPr>
              <w:spacing w:line="240" w:lineRule="auto"/>
              <w:rPr>
                <w:color w:val="000000"/>
              </w:rPr>
            </w:pPr>
          </w:p>
        </w:tc>
      </w:tr>
      <w:tr w:rsidR="00045634" w14:paraId="08D380D8"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56FED238" w14:textId="0BE339D4" w:rsidR="00045634" w:rsidRPr="00041F1A" w:rsidRDefault="00045634" w:rsidP="00576D18">
            <w:pPr>
              <w:spacing w:line="240" w:lineRule="auto"/>
              <w:rPr>
                <w:color w:val="000000"/>
              </w:rPr>
            </w:pPr>
            <w:r w:rsidRPr="00041F1A">
              <w:rPr>
                <w:b/>
                <w:bCs/>
              </w:rPr>
              <w:lastRenderedPageBreak/>
              <w:t xml:space="preserve">Section 2: Assessment of the impact of future market changes (including funding reform) </w:t>
            </w:r>
            <w:r w:rsidR="002E7832" w:rsidRPr="00041F1A">
              <w:rPr>
                <w:b/>
                <w:bCs/>
              </w:rPr>
              <w:t>between now and October 2025</w:t>
            </w:r>
            <w:r w:rsidRPr="00041F1A">
              <w:rPr>
                <w:b/>
                <w:bCs/>
              </w:rPr>
              <w:t>, for each of the service markets</w:t>
            </w:r>
          </w:p>
        </w:tc>
      </w:tr>
      <w:tr w:rsidR="00B6797F" w14:paraId="39ED6595"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3BB09570" w14:textId="77777777" w:rsidR="00B6797F" w:rsidRPr="00041F1A" w:rsidRDefault="00B6797F" w:rsidP="00B6797F">
            <w:pPr>
              <w:spacing w:line="240" w:lineRule="auto"/>
              <w:rPr>
                <w:rFonts w:eastAsia="Calibri"/>
                <w:b/>
                <w:bCs/>
                <w:color w:val="000000"/>
              </w:rPr>
            </w:pPr>
          </w:p>
          <w:p w14:paraId="328E2132" w14:textId="77777777" w:rsidR="00576D18" w:rsidRDefault="00B6797F" w:rsidP="00B6797F">
            <w:pPr>
              <w:spacing w:line="240" w:lineRule="auto"/>
              <w:rPr>
                <w:rFonts w:eastAsia="Calibri"/>
                <w:b/>
                <w:bCs/>
                <w:color w:val="000000"/>
              </w:rPr>
            </w:pPr>
            <w:r w:rsidRPr="00041F1A">
              <w:rPr>
                <w:rFonts w:eastAsia="Calibri"/>
                <w:b/>
                <w:bCs/>
                <w:color w:val="000000"/>
              </w:rPr>
              <w:t>Care homes</w:t>
            </w:r>
          </w:p>
          <w:p w14:paraId="2B05CD0D" w14:textId="77777777" w:rsidR="00576D18" w:rsidRDefault="00576D18" w:rsidP="00B6797F">
            <w:pPr>
              <w:spacing w:line="240" w:lineRule="auto"/>
              <w:rPr>
                <w:rFonts w:eastAsia="Calibri"/>
                <w:b/>
                <w:bCs/>
                <w:color w:val="000000"/>
              </w:rPr>
            </w:pPr>
          </w:p>
          <w:p w14:paraId="2BEA197E" w14:textId="77777777" w:rsidR="005441DE" w:rsidRDefault="002E7832" w:rsidP="00B6797F">
            <w:pPr>
              <w:spacing w:line="240" w:lineRule="auto"/>
              <w:rPr>
                <w:rFonts w:eastAsia="Calibri"/>
                <w:color w:val="000000"/>
              </w:rPr>
            </w:pPr>
            <w:r w:rsidRPr="00576D18">
              <w:rPr>
                <w:rFonts w:eastAsia="Calibri"/>
                <w:color w:val="000000"/>
              </w:rPr>
              <w:t>Inflationary pressures are placing considerable pressure on care home providers and the ability of the local authority to react to and support to new and continuing challenges.  Such is the extent of the recent levels of inflation</w:t>
            </w:r>
            <w:r w:rsidR="00C5346A">
              <w:rPr>
                <w:rFonts w:eastAsia="Calibri"/>
                <w:color w:val="000000"/>
              </w:rPr>
              <w:t>, that</w:t>
            </w:r>
            <w:r w:rsidRPr="00576D18">
              <w:rPr>
                <w:rFonts w:eastAsia="Calibri"/>
                <w:color w:val="000000"/>
              </w:rPr>
              <w:t xml:space="preserve"> funding intended to close the gap between fee rates and the median cost of care has </w:t>
            </w:r>
            <w:r w:rsidR="00C5346A">
              <w:rPr>
                <w:rFonts w:eastAsia="Calibri"/>
                <w:color w:val="000000"/>
              </w:rPr>
              <w:t>had a reduced impact</w:t>
            </w:r>
            <w:r w:rsidR="004A25D0" w:rsidRPr="00576D18">
              <w:rPr>
                <w:rFonts w:eastAsia="Calibri"/>
                <w:color w:val="000000"/>
              </w:rPr>
              <w:t>.  This will limit care home providers</w:t>
            </w:r>
            <w:r w:rsidR="005441DE">
              <w:rPr>
                <w:rFonts w:eastAsia="Calibri"/>
                <w:color w:val="000000"/>
              </w:rPr>
              <w:t>’</w:t>
            </w:r>
            <w:r w:rsidR="004A25D0" w:rsidRPr="00576D18">
              <w:rPr>
                <w:rFonts w:eastAsia="Calibri"/>
                <w:color w:val="000000"/>
              </w:rPr>
              <w:t xml:space="preserve"> abilities to address risks and issues that they have been reporting in recent years over the course of 2023/2024.  Whilst the delay of clause 18 (3) delays a potential </w:t>
            </w:r>
            <w:r w:rsidR="005441DE">
              <w:rPr>
                <w:rFonts w:eastAsia="Calibri"/>
                <w:color w:val="000000"/>
              </w:rPr>
              <w:t xml:space="preserve">further negative impact </w:t>
            </w:r>
            <w:r w:rsidR="004A25D0" w:rsidRPr="00576D18">
              <w:rPr>
                <w:rFonts w:eastAsia="Calibri"/>
                <w:color w:val="000000"/>
              </w:rPr>
              <w:t>for providers in Sheffield</w:t>
            </w:r>
            <w:r w:rsidR="005441DE">
              <w:rPr>
                <w:rFonts w:eastAsia="Calibri"/>
                <w:color w:val="000000"/>
              </w:rPr>
              <w:t>,</w:t>
            </w:r>
            <w:r w:rsidR="004A25D0" w:rsidRPr="00576D18">
              <w:rPr>
                <w:rFonts w:eastAsia="Calibri"/>
                <w:color w:val="000000"/>
              </w:rPr>
              <w:t xml:space="preserve"> the sector remains at risk, and </w:t>
            </w:r>
            <w:r w:rsidR="005441DE">
              <w:rPr>
                <w:rFonts w:eastAsia="Calibri"/>
                <w:color w:val="000000"/>
              </w:rPr>
              <w:t>we consider that there may be</w:t>
            </w:r>
            <w:r w:rsidR="004A25D0" w:rsidRPr="00576D18">
              <w:rPr>
                <w:rFonts w:eastAsia="Calibri"/>
                <w:color w:val="000000"/>
              </w:rPr>
              <w:t xml:space="preserve"> care home closures as a result.  </w:t>
            </w:r>
          </w:p>
          <w:p w14:paraId="79480B66" w14:textId="77777777" w:rsidR="005441DE" w:rsidRDefault="005441DE" w:rsidP="00B6797F">
            <w:pPr>
              <w:spacing w:line="240" w:lineRule="auto"/>
              <w:rPr>
                <w:rFonts w:eastAsia="Calibri"/>
                <w:color w:val="000000"/>
              </w:rPr>
            </w:pPr>
          </w:p>
          <w:p w14:paraId="7149EAF1" w14:textId="77777777" w:rsidR="005441DE" w:rsidRDefault="005441DE" w:rsidP="00B6797F">
            <w:pPr>
              <w:spacing w:line="240" w:lineRule="auto"/>
              <w:rPr>
                <w:color w:val="000000"/>
              </w:rPr>
            </w:pPr>
            <w:r>
              <w:rPr>
                <w:rFonts w:eastAsia="Calibri"/>
                <w:color w:val="000000"/>
              </w:rPr>
              <w:t>However, w</w:t>
            </w:r>
            <w:r w:rsidR="004A25D0" w:rsidRPr="00576D18">
              <w:rPr>
                <w:rFonts w:eastAsia="Calibri"/>
                <w:color w:val="000000"/>
              </w:rPr>
              <w:t xml:space="preserve">ith </w:t>
            </w:r>
            <w:r>
              <w:rPr>
                <w:rFonts w:eastAsia="Calibri"/>
                <w:color w:val="000000"/>
              </w:rPr>
              <w:t xml:space="preserve">the </w:t>
            </w:r>
            <w:r w:rsidR="004A25D0" w:rsidRPr="00576D18">
              <w:rPr>
                <w:rFonts w:eastAsia="Calibri"/>
                <w:color w:val="000000"/>
              </w:rPr>
              <w:t xml:space="preserve">inflation rate predicted to fall to 2.9% by the end of 2023,  </w:t>
            </w:r>
            <w:hyperlink r:id="rId12" w:history="1">
              <w:r w:rsidR="004A25D0" w:rsidRPr="00576D18">
                <w:rPr>
                  <w:rStyle w:val="Hyperlink"/>
                </w:rPr>
                <w:t>Economic and fiscal outlook - March 2023 - Office for Budget Responsibility (obr.uk)</w:t>
              </w:r>
            </w:hyperlink>
            <w:r w:rsidR="001D701D" w:rsidRPr="00576D18">
              <w:t xml:space="preserve"> </w:t>
            </w:r>
            <w:r w:rsidR="001D701D" w:rsidRPr="00550F15">
              <w:rPr>
                <w:color w:val="000000"/>
              </w:rPr>
              <w:t>there</w:t>
            </w:r>
            <w:r w:rsidR="001D701D" w:rsidRPr="00041F1A">
              <w:rPr>
                <w:b/>
                <w:bCs/>
                <w:color w:val="000000"/>
              </w:rPr>
              <w:t xml:space="preserve"> </w:t>
            </w:r>
            <w:r w:rsidR="001D701D" w:rsidRPr="00041F1A">
              <w:rPr>
                <w:color w:val="000000"/>
              </w:rPr>
              <w:t xml:space="preserve">remains </w:t>
            </w:r>
            <w:r>
              <w:rPr>
                <w:color w:val="000000"/>
              </w:rPr>
              <w:t xml:space="preserve">some </w:t>
            </w:r>
            <w:r w:rsidR="001D701D" w:rsidRPr="00041F1A">
              <w:rPr>
                <w:color w:val="000000"/>
              </w:rPr>
              <w:t xml:space="preserve">potential to begin to make larger steps to </w:t>
            </w:r>
            <w:r>
              <w:rPr>
                <w:color w:val="000000"/>
              </w:rPr>
              <w:t>sustainability and improvement in the Market</w:t>
            </w:r>
            <w:r w:rsidR="001D701D" w:rsidRPr="00041F1A">
              <w:rPr>
                <w:color w:val="000000"/>
              </w:rPr>
              <w:t xml:space="preserve">.  </w:t>
            </w:r>
          </w:p>
          <w:p w14:paraId="486A7AB6" w14:textId="77777777" w:rsidR="005441DE" w:rsidRDefault="005441DE" w:rsidP="00B6797F">
            <w:pPr>
              <w:spacing w:line="240" w:lineRule="auto"/>
              <w:rPr>
                <w:color w:val="000000"/>
              </w:rPr>
            </w:pPr>
          </w:p>
          <w:p w14:paraId="2910C70B" w14:textId="4471A000" w:rsidR="00813791" w:rsidRPr="00041F1A" w:rsidRDefault="00180CD8" w:rsidP="00B6797F">
            <w:pPr>
              <w:spacing w:line="240" w:lineRule="auto"/>
              <w:rPr>
                <w:rFonts w:eastAsia="Calibri"/>
                <w:color w:val="000000"/>
              </w:rPr>
            </w:pPr>
            <w:r>
              <w:rPr>
                <w:color w:val="000000"/>
              </w:rPr>
              <w:t>It</w:t>
            </w:r>
            <w:r w:rsidR="001D701D" w:rsidRPr="00041F1A">
              <w:rPr>
                <w:color w:val="000000"/>
              </w:rPr>
              <w:t xml:space="preserve"> is unlikely that enough </w:t>
            </w:r>
            <w:proofErr w:type="spellStart"/>
            <w:r w:rsidR="001D701D" w:rsidRPr="00041F1A">
              <w:rPr>
                <w:color w:val="000000"/>
              </w:rPr>
              <w:t>progess</w:t>
            </w:r>
            <w:proofErr w:type="spellEnd"/>
            <w:r w:rsidR="001D701D" w:rsidRPr="00041F1A">
              <w:rPr>
                <w:color w:val="000000"/>
              </w:rPr>
              <w:t xml:space="preserve"> will have been made to eliminate the future risk of clause 18(3) should it be implemented in October 2025 as now planned.</w:t>
            </w:r>
            <w:r w:rsidR="00B6797F" w:rsidRPr="00041F1A">
              <w:rPr>
                <w:rFonts w:eastAsia="Calibri"/>
                <w:color w:val="000000"/>
              </w:rPr>
              <w:t xml:space="preserve"> Th</w:t>
            </w:r>
            <w:r w:rsidR="001D701D" w:rsidRPr="00041F1A">
              <w:rPr>
                <w:rFonts w:eastAsia="Calibri"/>
                <w:color w:val="000000"/>
              </w:rPr>
              <w:t>is</w:t>
            </w:r>
            <w:r w:rsidR="00B6797F" w:rsidRPr="00041F1A">
              <w:rPr>
                <w:rFonts w:eastAsia="Calibri"/>
                <w:color w:val="000000"/>
              </w:rPr>
              <w:t xml:space="preserve"> risk exists in </w:t>
            </w:r>
            <w:r w:rsidR="001D701D" w:rsidRPr="00041F1A">
              <w:rPr>
                <w:rFonts w:eastAsia="Calibri"/>
                <w:color w:val="000000"/>
              </w:rPr>
              <w:t xml:space="preserve">all </w:t>
            </w:r>
            <w:r w:rsidR="00B6797F" w:rsidRPr="00041F1A">
              <w:rPr>
                <w:rFonts w:eastAsia="Calibri"/>
                <w:color w:val="000000"/>
              </w:rPr>
              <w:t xml:space="preserve">areas of England where there is a gap between the average fees paid to providers and the median fair cost of care, where council resources may not be adequate to fill the gap, and where </w:t>
            </w:r>
            <w:r w:rsidR="005E75CE">
              <w:rPr>
                <w:rFonts w:eastAsia="Calibri"/>
                <w:color w:val="000000"/>
              </w:rPr>
              <w:t xml:space="preserve">there is </w:t>
            </w:r>
            <w:r w:rsidR="00B6797F" w:rsidRPr="00041F1A">
              <w:rPr>
                <w:rFonts w:eastAsia="Calibri"/>
                <w:color w:val="000000"/>
              </w:rPr>
              <w:t>high take-up of clause 18(3) following its</w:t>
            </w:r>
            <w:r w:rsidR="001D701D" w:rsidRPr="00041F1A">
              <w:rPr>
                <w:rFonts w:eastAsia="Calibri"/>
                <w:color w:val="000000"/>
              </w:rPr>
              <w:t xml:space="preserve"> potential</w:t>
            </w:r>
            <w:r w:rsidR="00B6797F" w:rsidRPr="00041F1A">
              <w:rPr>
                <w:rFonts w:eastAsia="Calibri"/>
                <w:color w:val="000000"/>
              </w:rPr>
              <w:t xml:space="preserve"> implementation from October 202</w:t>
            </w:r>
            <w:r w:rsidR="001D701D" w:rsidRPr="00041F1A">
              <w:rPr>
                <w:rFonts w:eastAsia="Calibri"/>
                <w:color w:val="000000"/>
              </w:rPr>
              <w:t>5</w:t>
            </w:r>
            <w:r w:rsidR="00B6797F" w:rsidRPr="00041F1A">
              <w:rPr>
                <w:rFonts w:eastAsia="Calibri"/>
                <w:color w:val="000000"/>
              </w:rPr>
              <w:t>.</w:t>
            </w:r>
            <w:r w:rsidR="00813791" w:rsidRPr="00041F1A">
              <w:rPr>
                <w:rFonts w:eastAsia="Calibri"/>
                <w:color w:val="000000"/>
              </w:rPr>
              <w:t xml:space="preserve"> The council does not yet have sufficient evidence to </w:t>
            </w:r>
            <w:r w:rsidR="005E75CE">
              <w:rPr>
                <w:rFonts w:eastAsia="Calibri"/>
                <w:color w:val="000000"/>
              </w:rPr>
              <w:t xml:space="preserve">fully </w:t>
            </w:r>
            <w:r w:rsidR="00813791" w:rsidRPr="00041F1A">
              <w:rPr>
                <w:rFonts w:eastAsia="Calibri"/>
                <w:color w:val="000000"/>
              </w:rPr>
              <w:t>quantify the risk from 18(3) implementation. It will study the evidence as it emerges from the trailblazer authorities.</w:t>
            </w:r>
          </w:p>
          <w:p w14:paraId="3F7A7C07" w14:textId="77777777" w:rsidR="00B6797F" w:rsidRDefault="00B6797F" w:rsidP="00B6797F">
            <w:pPr>
              <w:spacing w:line="240" w:lineRule="auto"/>
              <w:rPr>
                <w:rFonts w:eastAsia="Calibri"/>
                <w:color w:val="000000"/>
              </w:rPr>
            </w:pPr>
          </w:p>
          <w:p w14:paraId="49AD776D" w14:textId="77777777" w:rsidR="005F141C" w:rsidRPr="00041F1A" w:rsidRDefault="005F141C" w:rsidP="00B6797F">
            <w:pPr>
              <w:spacing w:line="240" w:lineRule="auto"/>
              <w:rPr>
                <w:rFonts w:eastAsia="Calibri"/>
                <w:color w:val="000000"/>
              </w:rPr>
            </w:pPr>
          </w:p>
          <w:p w14:paraId="10001361" w14:textId="77777777" w:rsidR="005F141C" w:rsidRDefault="00B6797F" w:rsidP="00B81C25">
            <w:pPr>
              <w:spacing w:line="240" w:lineRule="auto"/>
              <w:rPr>
                <w:rFonts w:eastAsia="Calibri"/>
                <w:b/>
                <w:bCs/>
                <w:color w:val="000000"/>
              </w:rPr>
            </w:pPr>
            <w:r w:rsidRPr="00041F1A">
              <w:rPr>
                <w:rFonts w:eastAsia="Calibri"/>
                <w:b/>
                <w:bCs/>
                <w:color w:val="000000"/>
              </w:rPr>
              <w:t xml:space="preserve">Homecare: </w:t>
            </w:r>
          </w:p>
          <w:p w14:paraId="4858E8AE" w14:textId="77777777" w:rsidR="005F141C" w:rsidRDefault="005F141C" w:rsidP="00B81C25">
            <w:pPr>
              <w:spacing w:line="240" w:lineRule="auto"/>
              <w:rPr>
                <w:rFonts w:eastAsia="Calibri"/>
                <w:b/>
                <w:bCs/>
                <w:color w:val="000000"/>
              </w:rPr>
            </w:pPr>
          </w:p>
          <w:p w14:paraId="597B26B9" w14:textId="6DF41866" w:rsidR="00B6797F" w:rsidRDefault="00B6797F" w:rsidP="00B81C25">
            <w:pPr>
              <w:spacing w:line="240" w:lineRule="auto"/>
              <w:rPr>
                <w:rFonts w:eastAsia="Calibri"/>
                <w:color w:val="000000"/>
              </w:rPr>
            </w:pPr>
            <w:r w:rsidRPr="00041F1A">
              <w:rPr>
                <w:rFonts w:eastAsia="Calibri"/>
                <w:color w:val="000000"/>
              </w:rPr>
              <w:t>Section 18(3) of the Care Act has already been implemented for homecare services, so there should be no</w:t>
            </w:r>
            <w:r w:rsidR="00AD01FC" w:rsidRPr="00041F1A">
              <w:rPr>
                <w:rFonts w:eastAsia="Calibri"/>
                <w:color w:val="000000"/>
              </w:rPr>
              <w:t xml:space="preserve"> further</w:t>
            </w:r>
            <w:r w:rsidRPr="00041F1A">
              <w:rPr>
                <w:rFonts w:eastAsia="Calibri"/>
                <w:color w:val="000000"/>
              </w:rPr>
              <w:t xml:space="preserve"> impact on demand from this source</w:t>
            </w:r>
            <w:r w:rsidR="00AD01FC" w:rsidRPr="00041F1A">
              <w:rPr>
                <w:rFonts w:eastAsia="Calibri"/>
                <w:color w:val="000000"/>
              </w:rPr>
              <w:t xml:space="preserve"> over the next 3 years</w:t>
            </w:r>
            <w:r w:rsidRPr="00041F1A">
              <w:rPr>
                <w:rFonts w:eastAsia="Calibri"/>
                <w:color w:val="000000"/>
              </w:rPr>
              <w:t xml:space="preserve">. The lifetime cap on care costs, </w:t>
            </w:r>
            <w:r w:rsidR="005E75CE">
              <w:rPr>
                <w:rFonts w:eastAsia="Calibri"/>
                <w:color w:val="000000"/>
              </w:rPr>
              <w:t>if</w:t>
            </w:r>
            <w:r w:rsidRPr="00041F1A">
              <w:rPr>
                <w:rFonts w:eastAsia="Calibri"/>
                <w:color w:val="000000"/>
              </w:rPr>
              <w:t xml:space="preserve"> implemented from October 202</w:t>
            </w:r>
            <w:r w:rsidR="00F353B9">
              <w:rPr>
                <w:rFonts w:eastAsia="Calibri"/>
                <w:color w:val="000000"/>
              </w:rPr>
              <w:t>5</w:t>
            </w:r>
            <w:r w:rsidRPr="00041F1A">
              <w:rPr>
                <w:rFonts w:eastAsia="Calibri"/>
                <w:color w:val="000000"/>
              </w:rPr>
              <w:t xml:space="preserve">, </w:t>
            </w:r>
            <w:r w:rsidR="00F353B9">
              <w:rPr>
                <w:rFonts w:eastAsia="Calibri"/>
                <w:color w:val="000000"/>
              </w:rPr>
              <w:t>is anticipated to</w:t>
            </w:r>
            <w:r w:rsidRPr="00041F1A">
              <w:rPr>
                <w:rFonts w:eastAsia="Calibri"/>
                <w:color w:val="000000"/>
              </w:rPr>
              <w:t xml:space="preserve"> lead to more private payers engaging with the Council, if only to record their expenditure as they </w:t>
            </w:r>
            <w:r w:rsidR="00F353B9">
              <w:rPr>
                <w:rFonts w:eastAsia="Calibri"/>
                <w:color w:val="000000"/>
              </w:rPr>
              <w:t xml:space="preserve">move </w:t>
            </w:r>
            <w:r w:rsidRPr="00041F1A">
              <w:rPr>
                <w:rFonts w:eastAsia="Calibri"/>
                <w:color w:val="000000"/>
              </w:rPr>
              <w:t xml:space="preserve">towards the lifetime cap. </w:t>
            </w:r>
            <w:r w:rsidR="00F353B9">
              <w:rPr>
                <w:rFonts w:eastAsia="Calibri"/>
                <w:color w:val="000000"/>
              </w:rPr>
              <w:t>It is estimated that</w:t>
            </w:r>
            <w:r w:rsidR="00AD01FC" w:rsidRPr="00041F1A">
              <w:rPr>
                <w:rFonts w:eastAsia="Calibri"/>
                <w:color w:val="000000"/>
              </w:rPr>
              <w:t xml:space="preserve"> one</w:t>
            </w:r>
            <w:r w:rsidR="00B81C25" w:rsidRPr="00041F1A">
              <w:rPr>
                <w:rFonts w:eastAsia="Calibri"/>
                <w:color w:val="000000"/>
              </w:rPr>
              <w:t>-fifth</w:t>
            </w:r>
            <w:r w:rsidRPr="00041F1A">
              <w:rPr>
                <w:rFonts w:eastAsia="Calibri"/>
                <w:color w:val="000000"/>
              </w:rPr>
              <w:t xml:space="preserve"> of adults receiving domiciliary care in </w:t>
            </w:r>
            <w:r w:rsidR="00B81C25" w:rsidRPr="00041F1A">
              <w:rPr>
                <w:rFonts w:eastAsia="Calibri"/>
                <w:color w:val="000000"/>
              </w:rPr>
              <w:t xml:space="preserve">Sheffield are </w:t>
            </w:r>
            <w:r w:rsidRPr="00041F1A">
              <w:rPr>
                <w:rFonts w:eastAsia="Calibri"/>
                <w:color w:val="000000"/>
              </w:rPr>
              <w:t>private</w:t>
            </w:r>
            <w:r w:rsidR="00B81C25" w:rsidRPr="00041F1A">
              <w:rPr>
                <w:rFonts w:eastAsia="Calibri"/>
                <w:color w:val="000000"/>
              </w:rPr>
              <w:t xml:space="preserve"> payers</w:t>
            </w:r>
            <w:r w:rsidRPr="00041F1A">
              <w:rPr>
                <w:rFonts w:eastAsia="Calibri"/>
                <w:color w:val="000000"/>
              </w:rPr>
              <w:t>. Engagement with the Council</w:t>
            </w:r>
            <w:r w:rsidR="00B81C25" w:rsidRPr="00041F1A">
              <w:rPr>
                <w:rFonts w:eastAsia="Calibri"/>
                <w:color w:val="000000"/>
              </w:rPr>
              <w:t xml:space="preserve"> </w:t>
            </w:r>
            <w:r w:rsidRPr="00041F1A">
              <w:rPr>
                <w:rFonts w:eastAsia="Calibri"/>
                <w:color w:val="000000"/>
              </w:rPr>
              <w:t xml:space="preserve">may lead to a </w:t>
            </w:r>
            <w:r w:rsidR="00B81C25" w:rsidRPr="00041F1A">
              <w:rPr>
                <w:rFonts w:eastAsia="Calibri"/>
                <w:color w:val="000000"/>
              </w:rPr>
              <w:t xml:space="preserve">small </w:t>
            </w:r>
            <w:r w:rsidRPr="00041F1A">
              <w:rPr>
                <w:rFonts w:eastAsia="Calibri"/>
                <w:color w:val="000000"/>
              </w:rPr>
              <w:t xml:space="preserve">rise in numbers in receipt of Council funding, but the Council is unable to quantify the potential impact at present. </w:t>
            </w:r>
          </w:p>
          <w:p w14:paraId="0CF7D862" w14:textId="77777777" w:rsidR="00873ACE" w:rsidRDefault="00873ACE" w:rsidP="00B81C25">
            <w:pPr>
              <w:spacing w:line="240" w:lineRule="auto"/>
              <w:rPr>
                <w:rFonts w:eastAsia="Calibri"/>
                <w:color w:val="000000"/>
              </w:rPr>
            </w:pPr>
          </w:p>
          <w:p w14:paraId="56B11555" w14:textId="77777777" w:rsidR="00873ACE" w:rsidRDefault="00873ACE" w:rsidP="00B81C25">
            <w:pPr>
              <w:spacing w:line="240" w:lineRule="auto"/>
              <w:rPr>
                <w:rFonts w:eastAsia="Calibri"/>
                <w:color w:val="000000"/>
              </w:rPr>
            </w:pPr>
          </w:p>
          <w:p w14:paraId="4639FEB6" w14:textId="561407C6" w:rsidR="005E75CE" w:rsidRPr="00041F1A" w:rsidRDefault="005E75CE" w:rsidP="00B81C25">
            <w:pPr>
              <w:spacing w:line="240" w:lineRule="auto"/>
              <w:rPr>
                <w:rFonts w:eastAsia="Calibri"/>
                <w:b/>
                <w:bCs/>
                <w:color w:val="000000"/>
              </w:rPr>
            </w:pPr>
          </w:p>
        </w:tc>
      </w:tr>
    </w:tbl>
    <w:p w14:paraId="63390EBC" w14:textId="77777777" w:rsidR="005F141C" w:rsidRDefault="005F141C">
      <w:r>
        <w:br w:type="page"/>
      </w:r>
    </w:p>
    <w:tbl>
      <w:tblPr>
        <w:tblW w:w="10490" w:type="dxa"/>
        <w:tblInd w:w="-714"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0490"/>
      </w:tblGrid>
      <w:tr w:rsidR="00B6797F" w14:paraId="48EA69C9"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635EDA52" w14:textId="35B45BF8" w:rsidR="00B6797F" w:rsidRPr="00A623AB" w:rsidRDefault="00B6797F" w:rsidP="00B6797F">
            <w:pPr>
              <w:spacing w:line="240" w:lineRule="auto"/>
              <w:rPr>
                <w:color w:val="000000"/>
              </w:rPr>
            </w:pPr>
            <w:r w:rsidRPr="00A623AB">
              <w:rPr>
                <w:rFonts w:eastAsia="Calibri"/>
                <w:b/>
                <w:bCs/>
                <w:color w:val="000000"/>
              </w:rPr>
              <w:lastRenderedPageBreak/>
              <w:t>Section 3: Plans for each market to address sustainability issues identified, including how fair cost of care funding will be used to address these issues over the next 1 to 3 years</w:t>
            </w:r>
            <w:r w:rsidR="006F0814" w:rsidRPr="00A623AB">
              <w:rPr>
                <w:rFonts w:eastAsia="Calibri"/>
                <w:b/>
                <w:bCs/>
                <w:color w:val="000000"/>
              </w:rPr>
              <w:t>, including fee rate issues where identified.</w:t>
            </w:r>
          </w:p>
        </w:tc>
      </w:tr>
      <w:tr w:rsidR="00B6797F" w14:paraId="708F4C1E" w14:textId="77777777" w:rsidTr="005F141C">
        <w:tc>
          <w:tcPr>
            <w:tcW w:w="10490" w:type="dxa"/>
            <w:tcBorders>
              <w:top w:val="single" w:sz="4" w:space="0" w:color="000000"/>
              <w:bottom w:val="single" w:sz="4" w:space="0" w:color="000000"/>
            </w:tcBorders>
            <w:tcMar>
              <w:top w:w="0" w:type="dxa"/>
              <w:left w:w="108" w:type="dxa"/>
              <w:bottom w:w="0" w:type="dxa"/>
              <w:right w:w="108" w:type="dxa"/>
            </w:tcMar>
            <w:hideMark/>
          </w:tcPr>
          <w:p w14:paraId="7EF842C0" w14:textId="77777777" w:rsidR="005F141C" w:rsidRPr="005F141C" w:rsidRDefault="005F141C" w:rsidP="005F141C">
            <w:pPr>
              <w:pStyle w:val="ListParagraph"/>
              <w:spacing w:line="240" w:lineRule="auto"/>
              <w:rPr>
                <w:color w:val="000000"/>
              </w:rPr>
            </w:pPr>
          </w:p>
          <w:p w14:paraId="54793258" w14:textId="1ECB7946" w:rsidR="00A623AB" w:rsidRPr="00A623AB" w:rsidRDefault="00A623AB" w:rsidP="00A623AB">
            <w:pPr>
              <w:pStyle w:val="ListParagraph"/>
              <w:numPr>
                <w:ilvl w:val="0"/>
                <w:numId w:val="3"/>
              </w:numPr>
              <w:spacing w:line="240" w:lineRule="auto"/>
              <w:rPr>
                <w:color w:val="000000"/>
              </w:rPr>
            </w:pPr>
            <w:r w:rsidRPr="00A623AB">
              <w:rPr>
                <w:rFonts w:eastAsia="Calibri"/>
                <w:b/>
                <w:bCs/>
                <w:color w:val="000000"/>
              </w:rPr>
              <w:t>65+ care homes market</w:t>
            </w:r>
          </w:p>
          <w:p w14:paraId="63E9105F" w14:textId="4E7420F7" w:rsidR="00B6797F" w:rsidRPr="00A623AB" w:rsidRDefault="00B6797F" w:rsidP="00B6797F">
            <w:pPr>
              <w:spacing w:line="240" w:lineRule="auto"/>
              <w:rPr>
                <w:rFonts w:eastAsia="Calibri"/>
                <w:b/>
                <w:bCs/>
                <w:color w:val="000000"/>
              </w:rPr>
            </w:pPr>
          </w:p>
          <w:p w14:paraId="58218164" w14:textId="3216F2BC" w:rsidR="00B81C25" w:rsidRPr="00A623AB" w:rsidRDefault="00B81C25" w:rsidP="00B6797F">
            <w:pPr>
              <w:spacing w:line="240" w:lineRule="auto"/>
              <w:rPr>
                <w:rFonts w:eastAsia="Calibri"/>
                <w:color w:val="000000"/>
              </w:rPr>
            </w:pPr>
            <w:r w:rsidRPr="00A623AB">
              <w:rPr>
                <w:rFonts w:eastAsia="Calibri"/>
                <w:color w:val="000000"/>
              </w:rPr>
              <w:t xml:space="preserve">Sheffield City Council </w:t>
            </w:r>
            <w:proofErr w:type="spellStart"/>
            <w:r w:rsidR="006F0814" w:rsidRPr="00A623AB">
              <w:rPr>
                <w:rFonts w:eastAsia="Calibri"/>
                <w:color w:val="000000"/>
              </w:rPr>
              <w:t>priortised</w:t>
            </w:r>
            <w:proofErr w:type="spellEnd"/>
            <w:r w:rsidR="006F0814" w:rsidRPr="00A623AB">
              <w:rPr>
                <w:rFonts w:eastAsia="Calibri"/>
                <w:color w:val="000000"/>
              </w:rPr>
              <w:t xml:space="preserve"> a general uplift to standard rate care homes using Fair Cost of Care funding for 2022/2023</w:t>
            </w:r>
            <w:r w:rsidR="00A623AB" w:rsidRPr="00A623AB">
              <w:rPr>
                <w:rFonts w:eastAsia="Calibri"/>
                <w:color w:val="000000"/>
              </w:rPr>
              <w:t xml:space="preserve"> and 2023/24</w:t>
            </w:r>
            <w:r w:rsidR="006F0814" w:rsidRPr="00A623AB">
              <w:rPr>
                <w:rFonts w:eastAsia="Calibri"/>
                <w:color w:val="000000"/>
              </w:rPr>
              <w:t xml:space="preserve"> in light of the ‘fee gap’ between what is paid now </w:t>
            </w:r>
            <w:r w:rsidR="00A623AB" w:rsidRPr="00A623AB">
              <w:rPr>
                <w:rFonts w:eastAsia="Calibri"/>
                <w:color w:val="000000"/>
              </w:rPr>
              <w:t xml:space="preserve">(22/23) </w:t>
            </w:r>
            <w:r w:rsidR="006F0814" w:rsidRPr="00A623AB">
              <w:rPr>
                <w:rFonts w:eastAsia="Calibri"/>
                <w:color w:val="000000"/>
              </w:rPr>
              <w:t xml:space="preserve">and the median cost of care homes as calculated in the fair cost of care exercise. </w:t>
            </w:r>
          </w:p>
          <w:p w14:paraId="356ADC95" w14:textId="77777777" w:rsidR="00A623AB" w:rsidRPr="00A623AB" w:rsidRDefault="00A623AB" w:rsidP="00B6797F">
            <w:pPr>
              <w:spacing w:line="240" w:lineRule="auto"/>
              <w:rPr>
                <w:rFonts w:eastAsia="Calibri"/>
                <w:color w:val="000000"/>
              </w:rPr>
            </w:pPr>
          </w:p>
          <w:p w14:paraId="73CF6D38" w14:textId="76F65C1C" w:rsidR="00B81C25" w:rsidRDefault="00A623AB" w:rsidP="00B6797F">
            <w:pPr>
              <w:spacing w:line="240" w:lineRule="auto"/>
              <w:rPr>
                <w:rFonts w:eastAsia="Calibri"/>
                <w:color w:val="000000"/>
              </w:rPr>
            </w:pPr>
            <w:r w:rsidRPr="00A623AB">
              <w:rPr>
                <w:rFonts w:eastAsia="Calibri"/>
                <w:color w:val="000000"/>
              </w:rPr>
              <w:t xml:space="preserve">Sheffield’s </w:t>
            </w:r>
            <w:proofErr w:type="spellStart"/>
            <w:r w:rsidRPr="00A623AB">
              <w:rPr>
                <w:rFonts w:eastAsia="Calibri"/>
                <w:color w:val="000000"/>
              </w:rPr>
              <w:t>FCoC</w:t>
            </w:r>
            <w:proofErr w:type="spellEnd"/>
            <w:r w:rsidRPr="00A623AB">
              <w:rPr>
                <w:rFonts w:eastAsia="Calibri"/>
                <w:color w:val="000000"/>
              </w:rPr>
              <w:t xml:space="preserve"> grant for 2022/23 </w:t>
            </w:r>
            <w:r>
              <w:rPr>
                <w:rFonts w:eastAsia="Calibri"/>
                <w:color w:val="000000"/>
              </w:rPr>
              <w:t>was</w:t>
            </w:r>
            <w:r w:rsidRPr="00A623AB">
              <w:rPr>
                <w:rFonts w:eastAsia="Calibri"/>
                <w:color w:val="000000"/>
              </w:rPr>
              <w:t xml:space="preserve"> £1.826 million, of which 75% (£1.370 million) is available for additional funding of care services. This was used to provide an £18 per week uplift to standard rate homes, backdated to 11/4/2022.</w:t>
            </w:r>
          </w:p>
          <w:p w14:paraId="64389D19" w14:textId="6AEFBCE5" w:rsidR="005D1BA2" w:rsidRDefault="005D1BA2" w:rsidP="00B6797F">
            <w:pPr>
              <w:spacing w:line="240" w:lineRule="auto"/>
              <w:rPr>
                <w:rFonts w:eastAsia="Calibri"/>
                <w:color w:val="000000"/>
              </w:rPr>
            </w:pPr>
          </w:p>
          <w:p w14:paraId="0A2E7DDA" w14:textId="706E21CE" w:rsidR="005D1BA2" w:rsidRDefault="005D1BA2" w:rsidP="00B6797F">
            <w:pPr>
              <w:spacing w:line="240" w:lineRule="auto"/>
              <w:rPr>
                <w:rFonts w:eastAsia="Calibri"/>
                <w:color w:val="000000"/>
              </w:rPr>
            </w:pPr>
            <w:r>
              <w:rPr>
                <w:rFonts w:eastAsia="Calibri"/>
                <w:color w:val="000000"/>
              </w:rPr>
              <w:t xml:space="preserve">Following consultation, a revised fee rate of £630 per week was </w:t>
            </w:r>
            <w:r w:rsidR="006D38AD">
              <w:rPr>
                <w:rFonts w:eastAsia="Calibri"/>
                <w:color w:val="000000"/>
              </w:rPr>
              <w:t>granted for 23/24,</w:t>
            </w:r>
          </w:p>
          <w:p w14:paraId="4C13DF69" w14:textId="316EA306" w:rsidR="006D38AD" w:rsidRDefault="006D38AD" w:rsidP="00B6797F">
            <w:pPr>
              <w:spacing w:line="240" w:lineRule="auto"/>
              <w:rPr>
                <w:rFonts w:eastAsia="Calibri"/>
                <w:color w:val="000000"/>
              </w:rPr>
            </w:pPr>
          </w:p>
          <w:p w14:paraId="573A1169" w14:textId="637BCF9D" w:rsidR="00964BA0" w:rsidRDefault="00C14AD1" w:rsidP="00237938">
            <w:pPr>
              <w:spacing w:line="240" w:lineRule="auto"/>
              <w:rPr>
                <w:rFonts w:eastAsia="Calibri"/>
                <w:color w:val="000000"/>
              </w:rPr>
            </w:pPr>
            <w:r w:rsidRPr="00A623AB">
              <w:rPr>
                <w:rFonts w:eastAsia="Calibri"/>
                <w:color w:val="000000"/>
              </w:rPr>
              <w:t>Any</w:t>
            </w:r>
            <w:r w:rsidR="008A4EB5" w:rsidRPr="00A623AB">
              <w:rPr>
                <w:rFonts w:eastAsia="Calibri"/>
                <w:color w:val="000000"/>
              </w:rPr>
              <w:t xml:space="preserve"> uplift will go a small way to addressing the risk to market sustainability from council fees. It will no</w:t>
            </w:r>
            <w:r w:rsidRPr="00A623AB">
              <w:rPr>
                <w:rFonts w:eastAsia="Calibri"/>
                <w:color w:val="000000"/>
              </w:rPr>
              <w:t>t</w:t>
            </w:r>
            <w:r w:rsidR="008A4EB5" w:rsidRPr="00A623AB">
              <w:rPr>
                <w:rFonts w:eastAsia="Calibri"/>
                <w:color w:val="000000"/>
              </w:rPr>
              <w:t>, however, address the principal current sustainability risk, which is access to an adequate workforce.</w:t>
            </w:r>
          </w:p>
          <w:p w14:paraId="1FD89AEB" w14:textId="53BBFDE4" w:rsidR="0094025D" w:rsidRDefault="0094025D" w:rsidP="00237938">
            <w:pPr>
              <w:spacing w:line="240" w:lineRule="auto"/>
              <w:rPr>
                <w:rFonts w:eastAsia="Calibri"/>
                <w:color w:val="000000"/>
              </w:rPr>
            </w:pPr>
          </w:p>
          <w:p w14:paraId="6E07E978" w14:textId="05500A36" w:rsidR="0094025D" w:rsidRDefault="0094025D" w:rsidP="00237938">
            <w:pPr>
              <w:spacing w:line="240" w:lineRule="auto"/>
              <w:rPr>
                <w:rFonts w:eastAsia="Calibri"/>
                <w:color w:val="000000"/>
              </w:rPr>
            </w:pPr>
            <w:r>
              <w:rPr>
                <w:rFonts w:eastAsia="Calibri"/>
                <w:color w:val="000000"/>
              </w:rPr>
              <w:t>The coun</w:t>
            </w:r>
            <w:r w:rsidR="004B394D">
              <w:rPr>
                <w:rFonts w:eastAsia="Calibri"/>
                <w:color w:val="000000"/>
              </w:rPr>
              <w:t>cil’s plans to address sustainability issues are set out in the following documents:</w:t>
            </w:r>
          </w:p>
          <w:p w14:paraId="6AA4612D" w14:textId="5F004CD4" w:rsidR="004B394D" w:rsidRPr="004B394D" w:rsidRDefault="00646604" w:rsidP="004B394D">
            <w:pPr>
              <w:pStyle w:val="ListParagraph"/>
              <w:numPr>
                <w:ilvl w:val="0"/>
                <w:numId w:val="7"/>
              </w:numPr>
              <w:spacing w:line="240" w:lineRule="auto"/>
              <w:rPr>
                <w:rFonts w:eastAsia="Calibri"/>
                <w:color w:val="000000"/>
              </w:rPr>
            </w:pPr>
            <w:hyperlink r:id="rId13" w:history="1">
              <w:r w:rsidR="004B394D" w:rsidRPr="004B394D">
                <w:rPr>
                  <w:color w:val="0000FF"/>
                  <w:u w:val="single"/>
                </w:rPr>
                <w:t>Care Sector Workforce Development Strategy</w:t>
              </w:r>
            </w:hyperlink>
            <w:r w:rsidR="004B394D">
              <w:t xml:space="preserve"> and </w:t>
            </w:r>
            <w:hyperlink r:id="rId14" w:history="1">
              <w:r w:rsidR="004B394D" w:rsidRPr="004B394D">
                <w:rPr>
                  <w:color w:val="0000FF"/>
                  <w:u w:val="single"/>
                </w:rPr>
                <w:t>Delivery Plan</w:t>
              </w:r>
            </w:hyperlink>
            <w:r w:rsidR="004B394D">
              <w:t>.</w:t>
            </w:r>
          </w:p>
          <w:p w14:paraId="1EB33D69" w14:textId="0A54F223" w:rsidR="0094025D" w:rsidRPr="004B394D" w:rsidRDefault="00646604" w:rsidP="004B394D">
            <w:pPr>
              <w:pStyle w:val="ListParagraph"/>
              <w:numPr>
                <w:ilvl w:val="0"/>
                <w:numId w:val="7"/>
              </w:numPr>
              <w:spacing w:line="240" w:lineRule="auto"/>
              <w:rPr>
                <w:rFonts w:eastAsia="Calibri"/>
                <w:color w:val="000000"/>
              </w:rPr>
            </w:pPr>
            <w:hyperlink r:id="rId15" w:history="1">
              <w:r w:rsidR="004B394D" w:rsidRPr="004B394D">
                <w:rPr>
                  <w:color w:val="0000FF"/>
                  <w:u w:val="single"/>
                </w:rPr>
                <w:t>Market Oversight and Sustainability Delivery 23/24</w:t>
              </w:r>
            </w:hyperlink>
          </w:p>
          <w:p w14:paraId="5DD91254" w14:textId="3B8EA260" w:rsidR="00A64FB1" w:rsidRPr="00436628" w:rsidRDefault="00646604" w:rsidP="00985449">
            <w:pPr>
              <w:pStyle w:val="ListParagraph"/>
              <w:numPr>
                <w:ilvl w:val="0"/>
                <w:numId w:val="7"/>
              </w:numPr>
              <w:spacing w:line="240" w:lineRule="auto"/>
              <w:rPr>
                <w:rFonts w:eastAsia="Calibri"/>
                <w:color w:val="000000"/>
              </w:rPr>
            </w:pPr>
            <w:hyperlink r:id="rId16" w:history="1">
              <w:r w:rsidR="00436628" w:rsidRPr="00436628">
                <w:rPr>
                  <w:color w:val="0000FF"/>
                  <w:u w:val="single"/>
                </w:rPr>
                <w:t>Transforming Care Homes for the Citizens of Sheffield</w:t>
              </w:r>
            </w:hyperlink>
            <w:r w:rsidR="00436628">
              <w:t xml:space="preserve"> and the associated </w:t>
            </w:r>
            <w:hyperlink r:id="rId17" w:history="1">
              <w:r w:rsidR="00436628" w:rsidRPr="00436628">
                <w:rPr>
                  <w:color w:val="0000FF"/>
                  <w:u w:val="single"/>
                </w:rPr>
                <w:t>Care Homes Commissioning Plan</w:t>
              </w:r>
            </w:hyperlink>
            <w:r w:rsidR="00436628">
              <w:t xml:space="preserve"> and </w:t>
            </w:r>
            <w:hyperlink r:id="rId18" w:history="1">
              <w:r w:rsidR="00436628" w:rsidRPr="00436628">
                <w:rPr>
                  <w:color w:val="0000FF"/>
                  <w:u w:val="single"/>
                </w:rPr>
                <w:t>Care Home Plan on a Page</w:t>
              </w:r>
            </w:hyperlink>
          </w:p>
          <w:p w14:paraId="50976F74" w14:textId="77777777" w:rsidR="008A4EB5" w:rsidRPr="00A623AB" w:rsidRDefault="008A4EB5" w:rsidP="00B6797F">
            <w:pPr>
              <w:spacing w:line="240" w:lineRule="auto"/>
              <w:rPr>
                <w:rFonts w:eastAsia="Calibri"/>
                <w:color w:val="000000"/>
              </w:rPr>
            </w:pPr>
          </w:p>
          <w:p w14:paraId="392144A1" w14:textId="562D5C07" w:rsidR="00037229" w:rsidRPr="00A64FB1" w:rsidRDefault="00DD0633" w:rsidP="00DD0633">
            <w:pPr>
              <w:pStyle w:val="ListParagraph"/>
              <w:numPr>
                <w:ilvl w:val="0"/>
                <w:numId w:val="3"/>
              </w:numPr>
              <w:spacing w:line="240" w:lineRule="auto"/>
              <w:rPr>
                <w:color w:val="000000"/>
              </w:rPr>
            </w:pPr>
            <w:r w:rsidRPr="00A623AB">
              <w:rPr>
                <w:rFonts w:eastAsia="Calibri"/>
                <w:b/>
                <w:bCs/>
                <w:color w:val="000000"/>
              </w:rPr>
              <w:t>18</w:t>
            </w:r>
            <w:r w:rsidR="00037229" w:rsidRPr="00A623AB">
              <w:rPr>
                <w:rFonts w:eastAsia="Calibri"/>
                <w:b/>
                <w:bCs/>
                <w:color w:val="000000"/>
              </w:rPr>
              <w:t xml:space="preserve">+ </w:t>
            </w:r>
            <w:r w:rsidRPr="00A623AB">
              <w:rPr>
                <w:rFonts w:eastAsia="Calibri"/>
                <w:b/>
                <w:bCs/>
                <w:color w:val="000000"/>
              </w:rPr>
              <w:t>domiciliary care market</w:t>
            </w:r>
          </w:p>
          <w:p w14:paraId="3AE60ED9" w14:textId="77777777" w:rsidR="00A64FB1" w:rsidRPr="00A623AB" w:rsidRDefault="00A64FB1" w:rsidP="00A64FB1">
            <w:pPr>
              <w:pStyle w:val="ListParagraph"/>
              <w:spacing w:line="240" w:lineRule="auto"/>
              <w:rPr>
                <w:color w:val="000000"/>
              </w:rPr>
            </w:pPr>
          </w:p>
          <w:p w14:paraId="120AD13C" w14:textId="77777777" w:rsidR="002E5DBA" w:rsidRDefault="0098663F" w:rsidP="002E5DBA">
            <w:r>
              <w:rPr>
                <w:rFonts w:eastAsia="Calibri"/>
                <w:color w:val="000000"/>
              </w:rPr>
              <w:t xml:space="preserve">In line with our commissioning plan for domiciliary care, </w:t>
            </w:r>
            <w:r w:rsidR="00C670A1">
              <w:rPr>
                <w:rFonts w:eastAsia="Calibri"/>
                <w:color w:val="000000"/>
              </w:rPr>
              <w:t>a fee rate of £21ph has been granted for 202</w:t>
            </w:r>
            <w:r w:rsidR="00346478">
              <w:rPr>
                <w:rFonts w:eastAsia="Calibri"/>
                <w:color w:val="000000"/>
              </w:rPr>
              <w:t>3/24</w:t>
            </w:r>
            <w:r w:rsidR="00C670A1">
              <w:rPr>
                <w:rFonts w:eastAsia="Calibri"/>
                <w:color w:val="000000"/>
              </w:rPr>
              <w:t xml:space="preserve">. This is within the </w:t>
            </w:r>
            <w:r w:rsidR="00346478">
              <w:rPr>
                <w:rFonts w:eastAsia="Calibri"/>
                <w:color w:val="000000"/>
              </w:rPr>
              <w:t xml:space="preserve">confidence intervals of the </w:t>
            </w:r>
            <w:r w:rsidR="005F3E74">
              <w:rPr>
                <w:rFonts w:eastAsia="Calibri"/>
                <w:color w:val="000000"/>
              </w:rPr>
              <w:t>median</w:t>
            </w:r>
            <w:r w:rsidR="00346478">
              <w:rPr>
                <w:rFonts w:eastAsia="Calibri"/>
                <w:color w:val="000000"/>
              </w:rPr>
              <w:t xml:space="preserve"> cost of care for 2022/23 </w:t>
            </w:r>
            <w:r w:rsidR="00DE7682">
              <w:t>and</w:t>
            </w:r>
            <w:r w:rsidR="002D4E25">
              <w:t xml:space="preserve"> </w:t>
            </w:r>
            <w:r w:rsidR="002E5DBA">
              <w:t>as</w:t>
            </w:r>
            <w:r w:rsidR="002D4E25">
              <w:t xml:space="preserve"> we move away from the current model for homecare to the Care and Wellbeing Model, the City will benefit from a renewed market, with existing and new providers delivering an outcome focused contract, </w:t>
            </w:r>
            <w:proofErr w:type="spellStart"/>
            <w:r w:rsidR="002D4E25">
              <w:t>focussed</w:t>
            </w:r>
            <w:proofErr w:type="spellEnd"/>
            <w:r w:rsidR="002D4E25">
              <w:t xml:space="preserve"> on </w:t>
            </w:r>
            <w:proofErr w:type="spellStart"/>
            <w:r w:rsidR="002D4E25">
              <w:t>neighbourhood</w:t>
            </w:r>
            <w:proofErr w:type="spellEnd"/>
            <w:r w:rsidR="002D4E25">
              <w:t xml:space="preserve">/area delivery and building community connections for the benefit of people in the City. </w:t>
            </w:r>
          </w:p>
          <w:p w14:paraId="13DFCB7F" w14:textId="77777777" w:rsidR="001231B9" w:rsidRDefault="001231B9" w:rsidP="002E5DBA"/>
          <w:p w14:paraId="435A00E7" w14:textId="58D11713" w:rsidR="001231B9" w:rsidRPr="00A623AB" w:rsidRDefault="001231B9" w:rsidP="001231B9">
            <w:r w:rsidRPr="00A623AB">
              <w:t>Fair Cost of Care Funds for 2022/2023 were used to provide a</w:t>
            </w:r>
            <w:r>
              <w:t>n early step towards the rate of £21ph by providing a</w:t>
            </w:r>
            <w:r w:rsidRPr="00A623AB">
              <w:t xml:space="preserve"> 20p per hour increase in the fee rate paid to the 18+ domiciliary care market.  </w:t>
            </w:r>
          </w:p>
          <w:p w14:paraId="2FE6C681" w14:textId="77777777" w:rsidR="001231B9" w:rsidRDefault="001231B9" w:rsidP="002E5DBA"/>
          <w:p w14:paraId="7147A329" w14:textId="77777777" w:rsidR="00B91C92" w:rsidRDefault="002D4E25" w:rsidP="002E5DBA">
            <w:r>
              <w:t xml:space="preserve">The model is anticipated to improve recruitment and retention with reduced distances to travel for staff, </w:t>
            </w:r>
            <w:proofErr w:type="gramStart"/>
            <w:r>
              <w:t>opening up</w:t>
            </w:r>
            <w:proofErr w:type="gramEnd"/>
            <w:r>
              <w:t xml:space="preserve"> employment possibilities to those who don’t drive, and being more efficient for those who do. </w:t>
            </w:r>
          </w:p>
          <w:p w14:paraId="359E105B" w14:textId="77777777" w:rsidR="00B91C92" w:rsidRDefault="00B91C92" w:rsidP="002E5DBA"/>
          <w:p w14:paraId="256A9F86" w14:textId="76044350" w:rsidR="00B91C92" w:rsidRDefault="002D4E25" w:rsidP="002E5DBA">
            <w:r>
              <w:t xml:space="preserve">Recent procurement for our new Care and Wellbeing homecare model, at £21ph saw a high interest from </w:t>
            </w:r>
            <w:r w:rsidR="00B91C92">
              <w:t xml:space="preserve">both </w:t>
            </w:r>
            <w:r>
              <w:t>existing and new providers. We anticipate that our transition to the new model and contracts will further</w:t>
            </w:r>
            <w:r w:rsidR="00015377">
              <w:t xml:space="preserve"> improve and</w:t>
            </w:r>
            <w:r>
              <w:t xml:space="preserve"> </w:t>
            </w:r>
            <w:proofErr w:type="spellStart"/>
            <w:r>
              <w:t>stabilise</w:t>
            </w:r>
            <w:proofErr w:type="spellEnd"/>
            <w:r>
              <w:t xml:space="preserve"> homecare provision in the City in the following ways: </w:t>
            </w:r>
          </w:p>
          <w:p w14:paraId="6F9CBF90" w14:textId="61C2A2A4" w:rsidR="00B91C92" w:rsidRDefault="00C36DFF" w:rsidP="00B91C92">
            <w:pPr>
              <w:pStyle w:val="ListParagraph"/>
              <w:numPr>
                <w:ilvl w:val="1"/>
                <w:numId w:val="7"/>
              </w:numPr>
              <w:ind w:left="589"/>
            </w:pPr>
            <w:r>
              <w:t>T</w:t>
            </w:r>
            <w:r w:rsidR="002D4E25">
              <w:t xml:space="preserve">he new model of homecare moves towards a community integrated care and wellbeing approach, collective Practice Standards across Adult Social Care and Commissioned </w:t>
            </w:r>
            <w:r w:rsidR="002D4E25">
              <w:lastRenderedPageBreak/>
              <w:t>services will seek to drive practice that is outcome focused, strength-based, community connected, and person led so that all social care support is focused on enabling people to live independently, live the life they want to live and have positive experiences of care.</w:t>
            </w:r>
          </w:p>
          <w:p w14:paraId="10AD87BB" w14:textId="42485A4F" w:rsidR="00B91C92" w:rsidRDefault="002D4E25" w:rsidP="00B91C92">
            <w:pPr>
              <w:pStyle w:val="ListParagraph"/>
              <w:numPr>
                <w:ilvl w:val="1"/>
                <w:numId w:val="7"/>
              </w:numPr>
              <w:ind w:left="589"/>
            </w:pPr>
            <w:r>
              <w:t xml:space="preserve">Improved accessibility, stability, and continuity of care provision by moving to an increased contract duration and guaranteed payment to providers for a proportion of the anticipated volume, supporting business continuity, forecasting, and planning. </w:t>
            </w:r>
          </w:p>
          <w:p w14:paraId="7084761E" w14:textId="7485A6A7" w:rsidR="00B91C92" w:rsidRDefault="002D4E25" w:rsidP="00B91C92">
            <w:pPr>
              <w:pStyle w:val="ListParagraph"/>
              <w:numPr>
                <w:ilvl w:val="1"/>
                <w:numId w:val="7"/>
              </w:numPr>
              <w:ind w:left="589"/>
            </w:pPr>
            <w:r>
              <w:t xml:space="preserve">Geographical alignment of support with a single provider operating in each the 16 contracted patches, operating as equal partners within </w:t>
            </w:r>
            <w:r w:rsidR="00015377">
              <w:t>multidisciplinary</w:t>
            </w:r>
            <w:r>
              <w:t xml:space="preserve"> and collaborative working arrangements across health and social care. It is anticipated that this will strengthen partnership working, improving monitoring arrangements, supporting provider efficiencies and sustainability, and reduce travel for care staff - and in doing so reduce our carbon footprint. </w:t>
            </w:r>
          </w:p>
          <w:p w14:paraId="683C1C3F" w14:textId="1C4384A9" w:rsidR="00B91C92" w:rsidRDefault="002D4E25" w:rsidP="00B91C92">
            <w:pPr>
              <w:pStyle w:val="ListParagraph"/>
              <w:numPr>
                <w:ilvl w:val="1"/>
                <w:numId w:val="7"/>
              </w:numPr>
              <w:ind w:left="589"/>
            </w:pPr>
            <w:r>
              <w:t xml:space="preserve">Moving away from a time and task model (where the focus is delivery on requested hours) to an outcome-based model where care is </w:t>
            </w:r>
            <w:r w:rsidR="00015377">
              <w:t>focused</w:t>
            </w:r>
            <w:r>
              <w:t xml:space="preserve"> upon the priorities and goals a person wants to achieve to improve their wellbeing and independence. Providers will be asked to demonstrate – including through Trusted Reviews (Care Plans) - how they have enabled an individual to improve their wellbeing and live more independently and in doing so reduce the need for care and support.</w:t>
            </w:r>
          </w:p>
          <w:p w14:paraId="6217D5D2" w14:textId="6B7A0924" w:rsidR="00B91C92" w:rsidRDefault="002D4E25" w:rsidP="00B91C92">
            <w:pPr>
              <w:pStyle w:val="ListParagraph"/>
              <w:numPr>
                <w:ilvl w:val="1"/>
                <w:numId w:val="7"/>
              </w:numPr>
              <w:ind w:left="589"/>
            </w:pPr>
            <w:r>
              <w:t xml:space="preserve">Changes to the payment and charging model. Switching from payment based on minutes of care delivered to payment based on planned care will shift the emphasis away from time and task; it will give providers more certainty and people more timely and more reliable invoices; and it will reduce complexity and improve efficiency. People in receipt of care will also be charged on planned hours. </w:t>
            </w:r>
          </w:p>
          <w:p w14:paraId="756D169E" w14:textId="29305424" w:rsidR="002D4E25" w:rsidRDefault="00523E96" w:rsidP="00B91C92">
            <w:pPr>
              <w:pStyle w:val="ListParagraph"/>
              <w:numPr>
                <w:ilvl w:val="1"/>
                <w:numId w:val="7"/>
              </w:numPr>
              <w:ind w:left="589"/>
            </w:pPr>
            <w:r>
              <w:t>Working in partnership with</w:t>
            </w:r>
            <w:r w:rsidR="002D4E25">
              <w:t xml:space="preserve"> providers to ensure a robust workforce development plan which ensures the recruitment and retention of a diverse care workforce so that individuals are supported by a workforce that reflects the population of Sheffield, reflects their cultural preferences, and delivers culturally appropriate care. </w:t>
            </w:r>
            <w:r w:rsidR="001231B9">
              <w:t>We estimate that r</w:t>
            </w:r>
            <w:r w:rsidR="002D4E25">
              <w:t>educing turnover to 15% would save providers over £2.7 million in recruitment costs over the course of the contract.</w:t>
            </w:r>
          </w:p>
          <w:p w14:paraId="0E093048" w14:textId="77777777" w:rsidR="002D4E25" w:rsidRDefault="002D4E25" w:rsidP="00702383"/>
          <w:p w14:paraId="7D86A744" w14:textId="77777777" w:rsidR="00FF522D" w:rsidRDefault="00FF522D" w:rsidP="00FF522D">
            <w:pPr>
              <w:spacing w:line="240" w:lineRule="auto"/>
              <w:rPr>
                <w:rFonts w:eastAsia="Calibri"/>
                <w:color w:val="000000"/>
              </w:rPr>
            </w:pPr>
            <w:r>
              <w:rPr>
                <w:rFonts w:eastAsia="Calibri"/>
                <w:color w:val="000000"/>
              </w:rPr>
              <w:t>The council’s plans to address sustainability issues are set out in the following documents:</w:t>
            </w:r>
          </w:p>
          <w:p w14:paraId="31CBE1C0" w14:textId="77777777" w:rsidR="00FF522D" w:rsidRPr="004B394D" w:rsidRDefault="00646604" w:rsidP="00FF522D">
            <w:pPr>
              <w:pStyle w:val="ListParagraph"/>
              <w:numPr>
                <w:ilvl w:val="0"/>
                <w:numId w:val="7"/>
              </w:numPr>
              <w:spacing w:line="240" w:lineRule="auto"/>
              <w:rPr>
                <w:rFonts w:eastAsia="Calibri"/>
                <w:color w:val="000000"/>
              </w:rPr>
            </w:pPr>
            <w:hyperlink r:id="rId19" w:history="1">
              <w:r w:rsidR="00FF522D" w:rsidRPr="004B394D">
                <w:rPr>
                  <w:color w:val="0000FF"/>
                  <w:u w:val="single"/>
                </w:rPr>
                <w:t>Care Sector Workforce Development Strategy</w:t>
              </w:r>
            </w:hyperlink>
            <w:r w:rsidR="00FF522D">
              <w:t xml:space="preserve"> and </w:t>
            </w:r>
            <w:hyperlink r:id="rId20" w:history="1">
              <w:r w:rsidR="00FF522D" w:rsidRPr="004B394D">
                <w:rPr>
                  <w:color w:val="0000FF"/>
                  <w:u w:val="single"/>
                </w:rPr>
                <w:t>Delivery Plan</w:t>
              </w:r>
            </w:hyperlink>
            <w:r w:rsidR="00FF522D">
              <w:t>.</w:t>
            </w:r>
          </w:p>
          <w:p w14:paraId="19796AF9" w14:textId="77777777" w:rsidR="007A4049" w:rsidRPr="007A4049" w:rsidRDefault="00646604" w:rsidP="00702383">
            <w:pPr>
              <w:pStyle w:val="ListParagraph"/>
              <w:numPr>
                <w:ilvl w:val="0"/>
                <w:numId w:val="7"/>
              </w:numPr>
              <w:spacing w:line="240" w:lineRule="auto"/>
              <w:rPr>
                <w:rFonts w:eastAsia="Calibri"/>
                <w:color w:val="000000"/>
              </w:rPr>
            </w:pPr>
            <w:hyperlink r:id="rId21" w:history="1">
              <w:r w:rsidR="00FF522D" w:rsidRPr="004B394D">
                <w:rPr>
                  <w:color w:val="0000FF"/>
                  <w:u w:val="single"/>
                </w:rPr>
                <w:t>Market Oversight and Sustainability Delivery 23/24</w:t>
              </w:r>
            </w:hyperlink>
          </w:p>
          <w:p w14:paraId="0C63B738" w14:textId="46ED5241" w:rsidR="002D4E25" w:rsidRPr="007A4049" w:rsidRDefault="00646604" w:rsidP="00702383">
            <w:pPr>
              <w:pStyle w:val="ListParagraph"/>
              <w:numPr>
                <w:ilvl w:val="0"/>
                <w:numId w:val="7"/>
              </w:numPr>
              <w:spacing w:line="240" w:lineRule="auto"/>
              <w:rPr>
                <w:rFonts w:eastAsia="Calibri"/>
                <w:color w:val="000000"/>
              </w:rPr>
            </w:pPr>
            <w:hyperlink r:id="rId22" w:history="1">
              <w:r w:rsidR="007A4049" w:rsidRPr="007A4049">
                <w:rPr>
                  <w:color w:val="0000FF"/>
                  <w:u w:val="single"/>
                </w:rPr>
                <w:t>Recommissioning Homecare Services</w:t>
              </w:r>
            </w:hyperlink>
          </w:p>
          <w:p w14:paraId="79B95E3D" w14:textId="77777777" w:rsidR="00FF522D" w:rsidRDefault="00FF522D" w:rsidP="00702383"/>
          <w:p w14:paraId="7A793712" w14:textId="66467B6C" w:rsidR="00B6797F" w:rsidRPr="00A623AB" w:rsidRDefault="00B6797F" w:rsidP="00B6797F">
            <w:pPr>
              <w:spacing w:line="240" w:lineRule="auto"/>
              <w:rPr>
                <w:rFonts w:eastAsia="Calibri"/>
                <w:color w:val="000000"/>
              </w:rPr>
            </w:pPr>
          </w:p>
          <w:p w14:paraId="1742965E" w14:textId="77777777" w:rsidR="00B6797F" w:rsidRPr="00A623AB" w:rsidRDefault="00B6797F" w:rsidP="00B6797F">
            <w:pPr>
              <w:spacing w:line="240" w:lineRule="auto"/>
              <w:rPr>
                <w:rFonts w:eastAsia="Calibri"/>
                <w:b/>
                <w:bCs/>
                <w:color w:val="000000"/>
              </w:rPr>
            </w:pPr>
          </w:p>
        </w:tc>
      </w:tr>
    </w:tbl>
    <w:p w14:paraId="05385258" w14:textId="77777777" w:rsidR="00731897" w:rsidRDefault="00731897" w:rsidP="007A4049">
      <w:pPr>
        <w:spacing w:line="240" w:lineRule="auto"/>
        <w:rPr>
          <w:rFonts w:ascii="Calibri" w:eastAsia="Calibri" w:hAnsi="Calibri" w:cs="Calibri"/>
          <w:sz w:val="22"/>
          <w:szCs w:val="22"/>
        </w:rPr>
      </w:pPr>
    </w:p>
    <w:sectPr w:rsidR="00731897">
      <w:headerReference w:type="default" r:id="rId23"/>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7DDF1" w14:textId="77777777" w:rsidR="00EE3384" w:rsidRDefault="00EE3384">
      <w:pPr>
        <w:spacing w:line="240" w:lineRule="auto"/>
      </w:pPr>
      <w:r>
        <w:separator/>
      </w:r>
    </w:p>
  </w:endnote>
  <w:endnote w:type="continuationSeparator" w:id="0">
    <w:p w14:paraId="1D373B95" w14:textId="77777777" w:rsidR="00EE3384" w:rsidRDefault="00EE3384">
      <w:pPr>
        <w:spacing w:line="240" w:lineRule="auto"/>
      </w:pPr>
      <w:r>
        <w:continuationSeparator/>
      </w:r>
    </w:p>
  </w:endnote>
  <w:endnote w:type="continuationNotice" w:id="1">
    <w:p w14:paraId="675DB843" w14:textId="77777777" w:rsidR="00EE3384" w:rsidRDefault="00EE3384">
      <w:pPr>
        <w:spacing w:line="240" w:lineRule="auto"/>
      </w:pPr>
    </w:p>
  </w:endnote>
  <w:endnote w:id="2">
    <w:p w14:paraId="18DCA471" w14:textId="639D53E6" w:rsidR="009441C5" w:rsidRDefault="009441C5">
      <w:pPr>
        <w:spacing w:line="240" w:lineRule="auto"/>
        <w:rPr>
          <w:color w:val="000000"/>
          <w:sz w:val="20"/>
          <w:szCs w:val="20"/>
          <w:vertAlign w:val="superscript"/>
        </w:rPr>
      </w:pPr>
    </w:p>
    <w:p w14:paraId="7B569F33" w14:textId="45266E2C" w:rsidR="009441C5" w:rsidRDefault="009441C5">
      <w:pPr>
        <w:spacing w:line="240" w:lineRule="auto"/>
        <w:rPr>
          <w:color w:val="000000"/>
          <w:sz w:val="20"/>
          <w:szCs w:val="20"/>
          <w:vertAlign w:val="superscript"/>
        </w:rPr>
      </w:pPr>
    </w:p>
    <w:p w14:paraId="6E5D778E" w14:textId="77777777" w:rsidR="009441C5" w:rsidRDefault="009441C5">
      <w:pPr>
        <w:spacing w:line="240" w:lineRule="auto"/>
        <w:rPr>
          <w:color w:val="000000"/>
          <w:sz w:val="20"/>
          <w:szCs w:val="20"/>
          <w:vertAlign w:val="superscript"/>
        </w:rPr>
      </w:pPr>
    </w:p>
  </w:endnote>
  <w:endnote w:id="3">
    <w:p w14:paraId="011FE61A" w14:textId="2E86B531" w:rsidR="003D6120" w:rsidRDefault="003D6120" w:rsidP="003D6120">
      <w:pPr>
        <w:spacing w:line="240" w:lineRule="auto"/>
        <w:rPr>
          <w:color w:val="000000"/>
          <w:sz w:val="20"/>
          <w:szCs w:val="20"/>
          <w:vertAlign w:val="superscrip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F343" w14:textId="77777777" w:rsidR="00EE3384" w:rsidRDefault="00EE3384">
      <w:pPr>
        <w:spacing w:line="240" w:lineRule="auto"/>
      </w:pPr>
      <w:r>
        <w:separator/>
      </w:r>
    </w:p>
  </w:footnote>
  <w:footnote w:type="continuationSeparator" w:id="0">
    <w:p w14:paraId="20138D8E" w14:textId="77777777" w:rsidR="00EE3384" w:rsidRDefault="00EE3384">
      <w:pPr>
        <w:spacing w:line="240" w:lineRule="auto"/>
      </w:pPr>
      <w:r>
        <w:continuationSeparator/>
      </w:r>
    </w:p>
  </w:footnote>
  <w:footnote w:type="continuationNotice" w:id="1">
    <w:p w14:paraId="55A89E20" w14:textId="77777777" w:rsidR="00EE3384" w:rsidRDefault="00EE3384">
      <w:pPr>
        <w:spacing w:line="240" w:lineRule="auto"/>
      </w:pPr>
    </w:p>
  </w:footnote>
  <w:footnote w:id="2">
    <w:p w14:paraId="4842B7D9" w14:textId="77777777" w:rsidR="001465CB" w:rsidRPr="000204ED" w:rsidRDefault="001465CB" w:rsidP="001465CB">
      <w:pPr>
        <w:pStyle w:val="FootnoteText"/>
        <w:rPr>
          <w:rFonts w:asciiTheme="minorHAnsi" w:hAnsiTheme="minorHAnsi" w:cstheme="minorHAnsi"/>
          <w:sz w:val="18"/>
          <w:szCs w:val="18"/>
          <w:lang w:val="en-GB"/>
        </w:rPr>
      </w:pPr>
      <w:r w:rsidRPr="000204ED">
        <w:rPr>
          <w:rStyle w:val="FootnoteReference"/>
          <w:rFonts w:asciiTheme="minorHAnsi" w:hAnsiTheme="minorHAnsi" w:cstheme="minorHAnsi"/>
          <w:sz w:val="18"/>
          <w:szCs w:val="18"/>
        </w:rPr>
        <w:footnoteRef/>
      </w:r>
      <w:r w:rsidRPr="000204ED">
        <w:rPr>
          <w:rFonts w:asciiTheme="minorHAnsi" w:hAnsiTheme="minorHAnsi" w:cstheme="minorHAnsi"/>
          <w:sz w:val="18"/>
          <w:szCs w:val="18"/>
        </w:rPr>
        <w:t xml:space="preserve"> </w:t>
      </w:r>
      <w:r w:rsidRPr="000204ED">
        <w:rPr>
          <w:rFonts w:asciiTheme="minorHAnsi" w:hAnsiTheme="minorHAnsi" w:cstheme="minorHAnsi"/>
          <w:sz w:val="18"/>
          <w:szCs w:val="18"/>
          <w:lang w:val="en-GB"/>
        </w:rPr>
        <w:t>Both exclude the Covid year on 2020/21, where margins were buoyed by government grants</w:t>
      </w:r>
    </w:p>
  </w:footnote>
  <w:footnote w:id="3">
    <w:p w14:paraId="4B1F04B4" w14:textId="66F23612" w:rsidR="00635161" w:rsidRPr="00635161" w:rsidRDefault="00635161">
      <w:pPr>
        <w:pStyle w:val="FootnoteText"/>
        <w:rPr>
          <w:rFonts w:asciiTheme="minorHAnsi" w:hAnsiTheme="minorHAnsi" w:cstheme="minorHAnsi"/>
          <w:sz w:val="18"/>
          <w:szCs w:val="18"/>
          <w:lang w:val="en-GB"/>
        </w:rPr>
      </w:pPr>
      <w:r>
        <w:rPr>
          <w:rStyle w:val="FootnoteReference"/>
        </w:rPr>
        <w:footnoteRef/>
      </w:r>
      <w:r>
        <w:t xml:space="preserve"> </w:t>
      </w:r>
      <w:r w:rsidRPr="00635161">
        <w:rPr>
          <w:rFonts w:asciiTheme="minorHAnsi" w:hAnsiTheme="minorHAnsi" w:cstheme="minorHAnsi"/>
          <w:sz w:val="18"/>
          <w:szCs w:val="18"/>
          <w:lang w:val="en-GB"/>
        </w:rPr>
        <w:t xml:space="preserve">In the Fair Cost of Care report for care homes, </w:t>
      </w:r>
      <w:r>
        <w:rPr>
          <w:rFonts w:asciiTheme="minorHAnsi" w:hAnsiTheme="minorHAnsi" w:cstheme="minorHAnsi"/>
          <w:sz w:val="18"/>
          <w:szCs w:val="18"/>
          <w:lang w:val="en-GB"/>
        </w:rPr>
        <w:t xml:space="preserve">which accompanies this Market Sustainability Plan, </w:t>
      </w:r>
      <w:r w:rsidR="002576B2">
        <w:rPr>
          <w:rFonts w:asciiTheme="minorHAnsi" w:hAnsiTheme="minorHAnsi" w:cstheme="minorHAnsi"/>
          <w:sz w:val="18"/>
          <w:szCs w:val="18"/>
          <w:lang w:val="en-GB"/>
        </w:rPr>
        <w:t xml:space="preserve">the benchmark Return on Capital for care home providers has been set at 6% of care home asset values and the Return on Operations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484A" w14:textId="2A1F4EEE" w:rsidR="00731897" w:rsidRDefault="00731897">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646D7AC">
      <w:start w:val="1"/>
      <w:numFmt w:val="bullet"/>
      <w:lvlText w:val=""/>
      <w:lvlJc w:val="left"/>
      <w:pPr>
        <w:ind w:left="720" w:hanging="360"/>
      </w:pPr>
      <w:rPr>
        <w:rFonts w:ascii="Symbol" w:hAnsi="Symbol"/>
        <w:b w:val="0"/>
        <w:bCs w:val="0"/>
      </w:rPr>
    </w:lvl>
    <w:lvl w:ilvl="1" w:tplc="690C71F6">
      <w:start w:val="1"/>
      <w:numFmt w:val="bullet"/>
      <w:lvlText w:val="o"/>
      <w:lvlJc w:val="left"/>
      <w:pPr>
        <w:tabs>
          <w:tab w:val="num" w:pos="1440"/>
        </w:tabs>
        <w:ind w:left="1440" w:hanging="360"/>
      </w:pPr>
      <w:rPr>
        <w:rFonts w:ascii="Courier New" w:hAnsi="Courier New"/>
      </w:rPr>
    </w:lvl>
    <w:lvl w:ilvl="2" w:tplc="7592C6B6">
      <w:start w:val="1"/>
      <w:numFmt w:val="bullet"/>
      <w:lvlText w:val=""/>
      <w:lvlJc w:val="left"/>
      <w:pPr>
        <w:tabs>
          <w:tab w:val="num" w:pos="2160"/>
        </w:tabs>
        <w:ind w:left="2160" w:hanging="360"/>
      </w:pPr>
      <w:rPr>
        <w:rFonts w:ascii="Wingdings" w:hAnsi="Wingdings"/>
      </w:rPr>
    </w:lvl>
    <w:lvl w:ilvl="3" w:tplc="B10A5802">
      <w:start w:val="1"/>
      <w:numFmt w:val="bullet"/>
      <w:lvlText w:val=""/>
      <w:lvlJc w:val="left"/>
      <w:pPr>
        <w:tabs>
          <w:tab w:val="num" w:pos="2880"/>
        </w:tabs>
        <w:ind w:left="2880" w:hanging="360"/>
      </w:pPr>
      <w:rPr>
        <w:rFonts w:ascii="Symbol" w:hAnsi="Symbol"/>
      </w:rPr>
    </w:lvl>
    <w:lvl w:ilvl="4" w:tplc="C18EFD1A">
      <w:start w:val="1"/>
      <w:numFmt w:val="bullet"/>
      <w:lvlText w:val="o"/>
      <w:lvlJc w:val="left"/>
      <w:pPr>
        <w:tabs>
          <w:tab w:val="num" w:pos="3600"/>
        </w:tabs>
        <w:ind w:left="3600" w:hanging="360"/>
      </w:pPr>
      <w:rPr>
        <w:rFonts w:ascii="Courier New" w:hAnsi="Courier New"/>
      </w:rPr>
    </w:lvl>
    <w:lvl w:ilvl="5" w:tplc="580ADD6A">
      <w:start w:val="1"/>
      <w:numFmt w:val="bullet"/>
      <w:lvlText w:val=""/>
      <w:lvlJc w:val="left"/>
      <w:pPr>
        <w:tabs>
          <w:tab w:val="num" w:pos="4320"/>
        </w:tabs>
        <w:ind w:left="4320" w:hanging="360"/>
      </w:pPr>
      <w:rPr>
        <w:rFonts w:ascii="Wingdings" w:hAnsi="Wingdings"/>
      </w:rPr>
    </w:lvl>
    <w:lvl w:ilvl="6" w:tplc="E446CE6A">
      <w:start w:val="1"/>
      <w:numFmt w:val="bullet"/>
      <w:lvlText w:val=""/>
      <w:lvlJc w:val="left"/>
      <w:pPr>
        <w:tabs>
          <w:tab w:val="num" w:pos="5040"/>
        </w:tabs>
        <w:ind w:left="5040" w:hanging="360"/>
      </w:pPr>
      <w:rPr>
        <w:rFonts w:ascii="Symbol" w:hAnsi="Symbol"/>
      </w:rPr>
    </w:lvl>
    <w:lvl w:ilvl="7" w:tplc="57E09F0C">
      <w:start w:val="1"/>
      <w:numFmt w:val="bullet"/>
      <w:lvlText w:val="o"/>
      <w:lvlJc w:val="left"/>
      <w:pPr>
        <w:tabs>
          <w:tab w:val="num" w:pos="5760"/>
        </w:tabs>
        <w:ind w:left="5760" w:hanging="360"/>
      </w:pPr>
      <w:rPr>
        <w:rFonts w:ascii="Courier New" w:hAnsi="Courier New"/>
      </w:rPr>
    </w:lvl>
    <w:lvl w:ilvl="8" w:tplc="20B4F930">
      <w:start w:val="1"/>
      <w:numFmt w:val="bullet"/>
      <w:lvlText w:val=""/>
      <w:lvlJc w:val="left"/>
      <w:pPr>
        <w:tabs>
          <w:tab w:val="num" w:pos="6480"/>
        </w:tabs>
        <w:ind w:left="6480" w:hanging="360"/>
      </w:pPr>
      <w:rPr>
        <w:rFonts w:ascii="Wingdings" w:hAnsi="Wingdings"/>
      </w:rPr>
    </w:lvl>
  </w:abstractNum>
  <w:abstractNum w:abstractNumId="1" w15:restartNumberingAfterBreak="0">
    <w:nsid w:val="081A067C"/>
    <w:multiLevelType w:val="hybridMultilevel"/>
    <w:tmpl w:val="EE54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E45E2"/>
    <w:multiLevelType w:val="hybridMultilevel"/>
    <w:tmpl w:val="B3D8E198"/>
    <w:lvl w:ilvl="0" w:tplc="F0904E6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815BD"/>
    <w:multiLevelType w:val="hybridMultilevel"/>
    <w:tmpl w:val="6B7E2CFA"/>
    <w:lvl w:ilvl="0" w:tplc="D23C074A">
      <w:start w:val="1"/>
      <w:numFmt w:val="lowerLetter"/>
      <w:lvlText w:val="%1)"/>
      <w:lvlJc w:val="left"/>
      <w:pPr>
        <w:ind w:left="720" w:hanging="360"/>
      </w:pPr>
      <w:rPr>
        <w:rFonts w:ascii="Arial" w:eastAsia="Calibri"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724E40"/>
    <w:multiLevelType w:val="hybridMultilevel"/>
    <w:tmpl w:val="3FBC5F1C"/>
    <w:lvl w:ilvl="0" w:tplc="FFFFFFFF">
      <w:start w:val="1"/>
      <w:numFmt w:val="lowerLetter"/>
      <w:lvlText w:val="%1)"/>
      <w:lvlJc w:val="left"/>
      <w:pPr>
        <w:ind w:left="720" w:hanging="360"/>
      </w:pPr>
      <w:rPr>
        <w:rFonts w:ascii="Calibri" w:eastAsia="Calibri" w:hAnsi="Calibri" w:cs="Calibri"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370D77"/>
    <w:multiLevelType w:val="hybridMultilevel"/>
    <w:tmpl w:val="A8543940"/>
    <w:lvl w:ilvl="0" w:tplc="A3B6F0F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E20226"/>
    <w:multiLevelType w:val="hybridMultilevel"/>
    <w:tmpl w:val="21B0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F465A"/>
    <w:multiLevelType w:val="hybridMultilevel"/>
    <w:tmpl w:val="BF84A2D4"/>
    <w:lvl w:ilvl="0" w:tplc="F0904E64">
      <w:numFmt w:val="bullet"/>
      <w:lvlText w:val="-"/>
      <w:lvlJc w:val="left"/>
      <w:pPr>
        <w:ind w:left="720" w:hanging="360"/>
      </w:pPr>
      <w:rPr>
        <w:rFonts w:ascii="Arial" w:eastAsia="Calibri" w:hAnsi="Arial" w:cs="Arial" w:hint="default"/>
      </w:rPr>
    </w:lvl>
    <w:lvl w:ilvl="1" w:tplc="3EF6BC28">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83842">
    <w:abstractNumId w:val="0"/>
  </w:num>
  <w:num w:numId="2" w16cid:durableId="1656296007">
    <w:abstractNumId w:val="5"/>
  </w:num>
  <w:num w:numId="3" w16cid:durableId="1709649629">
    <w:abstractNumId w:val="3"/>
  </w:num>
  <w:num w:numId="4" w16cid:durableId="642781424">
    <w:abstractNumId w:val="4"/>
  </w:num>
  <w:num w:numId="5" w16cid:durableId="2122721405">
    <w:abstractNumId w:val="1"/>
  </w:num>
  <w:num w:numId="6" w16cid:durableId="238518216">
    <w:abstractNumId w:val="2"/>
  </w:num>
  <w:num w:numId="7" w16cid:durableId="1527669052">
    <w:abstractNumId w:val="7"/>
  </w:num>
  <w:num w:numId="8" w16cid:durableId="90206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897"/>
    <w:rsid w:val="00015377"/>
    <w:rsid w:val="000167AF"/>
    <w:rsid w:val="000204ED"/>
    <w:rsid w:val="00034F94"/>
    <w:rsid w:val="00037229"/>
    <w:rsid w:val="00041F1A"/>
    <w:rsid w:val="00044E64"/>
    <w:rsid w:val="00045634"/>
    <w:rsid w:val="00052617"/>
    <w:rsid w:val="0006381F"/>
    <w:rsid w:val="00095E54"/>
    <w:rsid w:val="000C16B4"/>
    <w:rsid w:val="000C7FB5"/>
    <w:rsid w:val="000D37C1"/>
    <w:rsid w:val="000E58DD"/>
    <w:rsid w:val="000F0223"/>
    <w:rsid w:val="000F2A7D"/>
    <w:rsid w:val="000F2BD3"/>
    <w:rsid w:val="0010307D"/>
    <w:rsid w:val="0012270D"/>
    <w:rsid w:val="001231B9"/>
    <w:rsid w:val="00131592"/>
    <w:rsid w:val="001465CB"/>
    <w:rsid w:val="001572AF"/>
    <w:rsid w:val="00163999"/>
    <w:rsid w:val="00165622"/>
    <w:rsid w:val="00180CD8"/>
    <w:rsid w:val="0019157E"/>
    <w:rsid w:val="001933F4"/>
    <w:rsid w:val="00195D22"/>
    <w:rsid w:val="001A3529"/>
    <w:rsid w:val="001A62EC"/>
    <w:rsid w:val="001D04F3"/>
    <w:rsid w:val="001D1ECB"/>
    <w:rsid w:val="001D4B8A"/>
    <w:rsid w:val="001D701D"/>
    <w:rsid w:val="002115DE"/>
    <w:rsid w:val="002126C3"/>
    <w:rsid w:val="00237938"/>
    <w:rsid w:val="002576B2"/>
    <w:rsid w:val="00295CF5"/>
    <w:rsid w:val="00297E9B"/>
    <w:rsid w:val="002D4E25"/>
    <w:rsid w:val="002E5DBA"/>
    <w:rsid w:val="002E7832"/>
    <w:rsid w:val="00305AF2"/>
    <w:rsid w:val="00346478"/>
    <w:rsid w:val="003802B5"/>
    <w:rsid w:val="0038240E"/>
    <w:rsid w:val="003B2618"/>
    <w:rsid w:val="003B4D7C"/>
    <w:rsid w:val="003C2B3E"/>
    <w:rsid w:val="003C4A5E"/>
    <w:rsid w:val="003D20E2"/>
    <w:rsid w:val="003D6120"/>
    <w:rsid w:val="003D680F"/>
    <w:rsid w:val="00405406"/>
    <w:rsid w:val="00414B2E"/>
    <w:rsid w:val="00431DB6"/>
    <w:rsid w:val="00436628"/>
    <w:rsid w:val="00444A56"/>
    <w:rsid w:val="00450046"/>
    <w:rsid w:val="00491A45"/>
    <w:rsid w:val="004A0E76"/>
    <w:rsid w:val="004A101B"/>
    <w:rsid w:val="004A25D0"/>
    <w:rsid w:val="004B394D"/>
    <w:rsid w:val="004E330D"/>
    <w:rsid w:val="00501DB1"/>
    <w:rsid w:val="00523E96"/>
    <w:rsid w:val="005441DE"/>
    <w:rsid w:val="00547DEE"/>
    <w:rsid w:val="00550F15"/>
    <w:rsid w:val="005673B4"/>
    <w:rsid w:val="00567DA0"/>
    <w:rsid w:val="0057029A"/>
    <w:rsid w:val="00576D18"/>
    <w:rsid w:val="005B6457"/>
    <w:rsid w:val="005C1C82"/>
    <w:rsid w:val="005C5A6D"/>
    <w:rsid w:val="005D1BA2"/>
    <w:rsid w:val="005D79C1"/>
    <w:rsid w:val="005E75CE"/>
    <w:rsid w:val="005F141C"/>
    <w:rsid w:val="005F3E74"/>
    <w:rsid w:val="00612F4D"/>
    <w:rsid w:val="0062040A"/>
    <w:rsid w:val="00635161"/>
    <w:rsid w:val="00646604"/>
    <w:rsid w:val="00673141"/>
    <w:rsid w:val="006923B9"/>
    <w:rsid w:val="00697790"/>
    <w:rsid w:val="006A5CCD"/>
    <w:rsid w:val="006B7C33"/>
    <w:rsid w:val="006D38AD"/>
    <w:rsid w:val="006E297B"/>
    <w:rsid w:val="006E50F5"/>
    <w:rsid w:val="006F0814"/>
    <w:rsid w:val="00702383"/>
    <w:rsid w:val="0070324C"/>
    <w:rsid w:val="0070494C"/>
    <w:rsid w:val="00731897"/>
    <w:rsid w:val="007360B6"/>
    <w:rsid w:val="00764F28"/>
    <w:rsid w:val="00786E48"/>
    <w:rsid w:val="007977D1"/>
    <w:rsid w:val="007A0A6D"/>
    <w:rsid w:val="007A4049"/>
    <w:rsid w:val="007A71AB"/>
    <w:rsid w:val="007B256E"/>
    <w:rsid w:val="007C32EF"/>
    <w:rsid w:val="007E0638"/>
    <w:rsid w:val="007E1403"/>
    <w:rsid w:val="007E231D"/>
    <w:rsid w:val="008066BE"/>
    <w:rsid w:val="00813791"/>
    <w:rsid w:val="00815692"/>
    <w:rsid w:val="00826246"/>
    <w:rsid w:val="00873ACE"/>
    <w:rsid w:val="00892697"/>
    <w:rsid w:val="008A4EB5"/>
    <w:rsid w:val="008B239F"/>
    <w:rsid w:val="008E55DE"/>
    <w:rsid w:val="008F0B83"/>
    <w:rsid w:val="008F720B"/>
    <w:rsid w:val="00905D5C"/>
    <w:rsid w:val="00920458"/>
    <w:rsid w:val="00927402"/>
    <w:rsid w:val="0094025D"/>
    <w:rsid w:val="009441C5"/>
    <w:rsid w:val="00964BA0"/>
    <w:rsid w:val="0098663F"/>
    <w:rsid w:val="009D3456"/>
    <w:rsid w:val="009E4A65"/>
    <w:rsid w:val="009F4A17"/>
    <w:rsid w:val="00A33238"/>
    <w:rsid w:val="00A623AB"/>
    <w:rsid w:val="00A63F50"/>
    <w:rsid w:val="00A64FB1"/>
    <w:rsid w:val="00A6694F"/>
    <w:rsid w:val="00A67E6E"/>
    <w:rsid w:val="00A92F2D"/>
    <w:rsid w:val="00AA0CD2"/>
    <w:rsid w:val="00AA2F9A"/>
    <w:rsid w:val="00AA37A2"/>
    <w:rsid w:val="00AA729C"/>
    <w:rsid w:val="00AC3582"/>
    <w:rsid w:val="00AC52A9"/>
    <w:rsid w:val="00AD01FC"/>
    <w:rsid w:val="00B319A9"/>
    <w:rsid w:val="00B44A01"/>
    <w:rsid w:val="00B64EE6"/>
    <w:rsid w:val="00B6797F"/>
    <w:rsid w:val="00B752CE"/>
    <w:rsid w:val="00B81C25"/>
    <w:rsid w:val="00B91C92"/>
    <w:rsid w:val="00B9685A"/>
    <w:rsid w:val="00BA5075"/>
    <w:rsid w:val="00BB3B74"/>
    <w:rsid w:val="00BF0144"/>
    <w:rsid w:val="00C14AD1"/>
    <w:rsid w:val="00C21705"/>
    <w:rsid w:val="00C25EB0"/>
    <w:rsid w:val="00C361EC"/>
    <w:rsid w:val="00C36DFF"/>
    <w:rsid w:val="00C43495"/>
    <w:rsid w:val="00C5346A"/>
    <w:rsid w:val="00C64A38"/>
    <w:rsid w:val="00C670A1"/>
    <w:rsid w:val="00CC2AB1"/>
    <w:rsid w:val="00CE7C6C"/>
    <w:rsid w:val="00D111D0"/>
    <w:rsid w:val="00D12378"/>
    <w:rsid w:val="00DA0533"/>
    <w:rsid w:val="00DD0633"/>
    <w:rsid w:val="00DE7682"/>
    <w:rsid w:val="00E044D2"/>
    <w:rsid w:val="00E73F6F"/>
    <w:rsid w:val="00E7439E"/>
    <w:rsid w:val="00E97F66"/>
    <w:rsid w:val="00EC0A85"/>
    <w:rsid w:val="00EE3384"/>
    <w:rsid w:val="00EF4CD4"/>
    <w:rsid w:val="00F15AEF"/>
    <w:rsid w:val="00F308DE"/>
    <w:rsid w:val="00F353B9"/>
    <w:rsid w:val="00F6460B"/>
    <w:rsid w:val="00F64A44"/>
    <w:rsid w:val="00F8540B"/>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014C"/>
  <w15:docId w15:val="{544E9913-F334-4850-8152-348B44D1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2" w:lineRule="auto"/>
    </w:pPr>
    <w:rPr>
      <w:rFonts w:ascii="Arial" w:eastAsia="Arial" w:hAnsi="Arial" w:cs="Arial"/>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EndnoteReference">
    <w:name w:val="endnote reference"/>
    <w:basedOn w:val="DefaultParagraphFont"/>
    <w:uiPriority w:val="99"/>
    <w:rsid w:val="000F3DF7"/>
    <w:rPr>
      <w:vertAlign w:val="superscript"/>
    </w:rPr>
  </w:style>
  <w:style w:type="paragraph" w:styleId="EndnoteText">
    <w:name w:val="endnote text"/>
    <w:basedOn w:val="Normal"/>
    <w:link w:val="EndnoteTextChar"/>
    <w:uiPriority w:val="99"/>
    <w:rsid w:val="000F3DF7"/>
    <w:pPr>
      <w:spacing w:line="240" w:lineRule="auto"/>
    </w:pPr>
    <w:rPr>
      <w:sz w:val="20"/>
      <w:szCs w:val="20"/>
    </w:rPr>
  </w:style>
  <w:style w:type="character" w:customStyle="1" w:styleId="EndnoteTextChar">
    <w:name w:val="Endnote Text Char"/>
    <w:basedOn w:val="DefaultParagraphFont"/>
    <w:link w:val="EndnoteText"/>
    <w:uiPriority w:val="99"/>
    <w:rsid w:val="000F3DF7"/>
    <w:rPr>
      <w:sz w:val="20"/>
      <w:szCs w:val="20"/>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Arial" w:hAnsi="Arial" w:cs="Arial"/>
    </w:rPr>
  </w:style>
  <w:style w:type="paragraph" w:styleId="Revision">
    <w:name w:val="Revision"/>
    <w:hidden/>
    <w:uiPriority w:val="99"/>
    <w:semiHidden/>
    <w:rsid w:val="001A62EC"/>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1A62EC"/>
    <w:rPr>
      <w:b/>
      <w:bCs/>
    </w:rPr>
  </w:style>
  <w:style w:type="character" w:customStyle="1" w:styleId="CommentSubjectChar">
    <w:name w:val="Comment Subject Char"/>
    <w:basedOn w:val="CommentTextChar"/>
    <w:link w:val="CommentSubject"/>
    <w:uiPriority w:val="99"/>
    <w:semiHidden/>
    <w:rsid w:val="001A62EC"/>
    <w:rPr>
      <w:rFonts w:ascii="Arial" w:eastAsia="Arial" w:hAnsi="Arial" w:cs="Arial"/>
      <w:b/>
      <w:bCs/>
    </w:rPr>
  </w:style>
  <w:style w:type="paragraph" w:styleId="ListParagraph">
    <w:name w:val="List Paragraph"/>
    <w:basedOn w:val="Normal"/>
    <w:uiPriority w:val="34"/>
    <w:qFormat/>
    <w:rsid w:val="007A0A6D"/>
    <w:pPr>
      <w:ind w:left="720"/>
      <w:contextualSpacing/>
    </w:pPr>
  </w:style>
  <w:style w:type="paragraph" w:styleId="FootnoteText">
    <w:name w:val="footnote text"/>
    <w:basedOn w:val="Normal"/>
    <w:link w:val="FootnoteTextChar"/>
    <w:uiPriority w:val="99"/>
    <w:semiHidden/>
    <w:unhideWhenUsed/>
    <w:rsid w:val="000204ED"/>
    <w:pPr>
      <w:spacing w:line="240" w:lineRule="auto"/>
    </w:pPr>
    <w:rPr>
      <w:sz w:val="20"/>
      <w:szCs w:val="20"/>
    </w:rPr>
  </w:style>
  <w:style w:type="character" w:customStyle="1" w:styleId="FootnoteTextChar">
    <w:name w:val="Footnote Text Char"/>
    <w:basedOn w:val="DefaultParagraphFont"/>
    <w:link w:val="FootnoteText"/>
    <w:uiPriority w:val="99"/>
    <w:semiHidden/>
    <w:rsid w:val="000204ED"/>
    <w:rPr>
      <w:rFonts w:ascii="Arial" w:eastAsia="Arial" w:hAnsi="Arial" w:cs="Arial"/>
    </w:rPr>
  </w:style>
  <w:style w:type="character" w:styleId="FootnoteReference">
    <w:name w:val="footnote reference"/>
    <w:basedOn w:val="DefaultParagraphFont"/>
    <w:uiPriority w:val="99"/>
    <w:semiHidden/>
    <w:unhideWhenUsed/>
    <w:rsid w:val="000204ED"/>
    <w:rPr>
      <w:vertAlign w:val="superscript"/>
    </w:rPr>
  </w:style>
  <w:style w:type="paragraph" w:styleId="Header">
    <w:name w:val="header"/>
    <w:basedOn w:val="Normal"/>
    <w:link w:val="HeaderChar"/>
    <w:uiPriority w:val="99"/>
    <w:unhideWhenUsed/>
    <w:rsid w:val="00813791"/>
    <w:pPr>
      <w:tabs>
        <w:tab w:val="center" w:pos="4513"/>
        <w:tab w:val="right" w:pos="9026"/>
      </w:tabs>
      <w:spacing w:line="240" w:lineRule="auto"/>
    </w:pPr>
  </w:style>
  <w:style w:type="character" w:customStyle="1" w:styleId="HeaderChar">
    <w:name w:val="Header Char"/>
    <w:basedOn w:val="DefaultParagraphFont"/>
    <w:link w:val="Header"/>
    <w:uiPriority w:val="99"/>
    <w:rsid w:val="00813791"/>
    <w:rPr>
      <w:rFonts w:ascii="Arial" w:eastAsia="Arial" w:hAnsi="Arial" w:cs="Arial"/>
      <w:sz w:val="24"/>
      <w:szCs w:val="24"/>
    </w:rPr>
  </w:style>
  <w:style w:type="paragraph" w:styleId="Footer">
    <w:name w:val="footer"/>
    <w:basedOn w:val="Normal"/>
    <w:link w:val="FooterChar"/>
    <w:uiPriority w:val="99"/>
    <w:unhideWhenUsed/>
    <w:rsid w:val="00813791"/>
    <w:pPr>
      <w:tabs>
        <w:tab w:val="center" w:pos="4513"/>
        <w:tab w:val="right" w:pos="9026"/>
      </w:tabs>
      <w:spacing w:line="240" w:lineRule="auto"/>
    </w:pPr>
  </w:style>
  <w:style w:type="character" w:customStyle="1" w:styleId="FooterChar">
    <w:name w:val="Footer Char"/>
    <w:basedOn w:val="DefaultParagraphFont"/>
    <w:link w:val="Footer"/>
    <w:uiPriority w:val="99"/>
    <w:rsid w:val="00813791"/>
    <w:rPr>
      <w:rFonts w:ascii="Arial" w:eastAsia="Arial" w:hAnsi="Arial" w:cs="Arial"/>
      <w:sz w:val="24"/>
      <w:szCs w:val="24"/>
    </w:rPr>
  </w:style>
  <w:style w:type="character" w:styleId="Hyperlink">
    <w:name w:val="Hyperlink"/>
    <w:basedOn w:val="DefaultParagraphFont"/>
    <w:uiPriority w:val="99"/>
    <w:semiHidden/>
    <w:unhideWhenUsed/>
    <w:rsid w:val="00697790"/>
    <w:rPr>
      <w:color w:val="0000FF"/>
      <w:u w:val="single"/>
    </w:rPr>
  </w:style>
  <w:style w:type="character" w:styleId="FollowedHyperlink">
    <w:name w:val="FollowedHyperlink"/>
    <w:basedOn w:val="DefaultParagraphFont"/>
    <w:uiPriority w:val="99"/>
    <w:semiHidden/>
    <w:unhideWhenUsed/>
    <w:rsid w:val="00163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318">
      <w:bodyDiv w:val="1"/>
      <w:marLeft w:val="0"/>
      <w:marRight w:val="0"/>
      <w:marTop w:val="0"/>
      <w:marBottom w:val="0"/>
      <w:divBdr>
        <w:top w:val="none" w:sz="0" w:space="0" w:color="auto"/>
        <w:left w:val="none" w:sz="0" w:space="0" w:color="auto"/>
        <w:bottom w:val="none" w:sz="0" w:space="0" w:color="auto"/>
        <w:right w:val="none" w:sz="0" w:space="0" w:color="auto"/>
      </w:divBdr>
    </w:div>
    <w:div w:id="78139403">
      <w:bodyDiv w:val="1"/>
      <w:marLeft w:val="0"/>
      <w:marRight w:val="0"/>
      <w:marTop w:val="0"/>
      <w:marBottom w:val="0"/>
      <w:divBdr>
        <w:top w:val="none" w:sz="0" w:space="0" w:color="auto"/>
        <w:left w:val="none" w:sz="0" w:space="0" w:color="auto"/>
        <w:bottom w:val="none" w:sz="0" w:space="0" w:color="auto"/>
        <w:right w:val="none" w:sz="0" w:space="0" w:color="auto"/>
      </w:divBdr>
    </w:div>
    <w:div w:id="385303434">
      <w:bodyDiv w:val="1"/>
      <w:marLeft w:val="0"/>
      <w:marRight w:val="0"/>
      <w:marTop w:val="0"/>
      <w:marBottom w:val="0"/>
      <w:divBdr>
        <w:top w:val="none" w:sz="0" w:space="0" w:color="auto"/>
        <w:left w:val="none" w:sz="0" w:space="0" w:color="auto"/>
        <w:bottom w:val="none" w:sz="0" w:space="0" w:color="auto"/>
        <w:right w:val="none" w:sz="0" w:space="0" w:color="auto"/>
      </w:divBdr>
    </w:div>
    <w:div w:id="467280458">
      <w:bodyDiv w:val="1"/>
      <w:marLeft w:val="0"/>
      <w:marRight w:val="0"/>
      <w:marTop w:val="0"/>
      <w:marBottom w:val="0"/>
      <w:divBdr>
        <w:top w:val="none" w:sz="0" w:space="0" w:color="auto"/>
        <w:left w:val="none" w:sz="0" w:space="0" w:color="auto"/>
        <w:bottom w:val="none" w:sz="0" w:space="0" w:color="auto"/>
        <w:right w:val="none" w:sz="0" w:space="0" w:color="auto"/>
      </w:divBdr>
    </w:div>
    <w:div w:id="1845315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gov.uk/sites/default/files/2022-10/market-shaping-statement-2022.pdf" TargetMode="External"/><Relationship Id="rId13" Type="http://schemas.openxmlformats.org/officeDocument/2006/relationships/hyperlink" Target="https://democracy.sheffield.gov.uk/documents/s58217/9.%20Appendix%201%20-%20Sheffield%20Care%20Sector%20Workforce%20Development%20Strategy.pdf" TargetMode="External"/><Relationship Id="rId18" Type="http://schemas.openxmlformats.org/officeDocument/2006/relationships/hyperlink" Target="https://democracy.sheffield.gov.uk/documents/s57308/10.%20Appendix%202%20-%20Care%20Home%20Transformation%20High%20Level%20Plan.pdf" TargetMode="External"/><Relationship Id="rId3" Type="http://schemas.openxmlformats.org/officeDocument/2006/relationships/styles" Target="styles.xml"/><Relationship Id="rId21" Type="http://schemas.openxmlformats.org/officeDocument/2006/relationships/hyperlink" Target="https://democracy.sheffield.gov.uk/documents/s57311/17.%20Appendix%201%20Market%20Sustainability%20Delivery%20Plan%20Jan23.pdf" TargetMode="External"/><Relationship Id="rId7" Type="http://schemas.openxmlformats.org/officeDocument/2006/relationships/endnotes" Target="endnotes.xml"/><Relationship Id="rId12" Type="http://schemas.openxmlformats.org/officeDocument/2006/relationships/hyperlink" Target="https://obr.uk/efo/economic-and-fiscal-outlook-march-2023/" TargetMode="External"/><Relationship Id="rId17" Type="http://schemas.openxmlformats.org/officeDocument/2006/relationships/hyperlink" Target="https://democracy.sheffield.gov.uk/documents/s57307/10.%20Appendix%201%20-%20Commissioning%20Plan%20Care%20Home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mocracy.sheffield.gov.uk/documents/s57306/10.%20Report%20to%20Committee%20-%20Care%20Home%20Transformation.pdf" TargetMode="External"/><Relationship Id="rId20" Type="http://schemas.openxmlformats.org/officeDocument/2006/relationships/hyperlink" Target="https://democracy.sheffield.gov.uk/documents/s58218/9.%20Appendix%202%20-%20Sheffield%20Care%20Sector%20Workforce%20Development%20Strategy%20Delivery%20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cracy.sheffield.gov.uk/documents/s58218/9.%20Appendix%202%20-%20Sheffield%20Care%20Sector%20Workforce%20Development%20Strategy%20Delivery%20Plan.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mocracy.sheffield.gov.uk/documents/s57311/17.%20Appendix%201%20Market%20Sustainability%20Delivery%20Plan%20Jan23.pdf" TargetMode="External"/><Relationship Id="rId23" Type="http://schemas.openxmlformats.org/officeDocument/2006/relationships/header" Target="header1.xml"/><Relationship Id="rId10" Type="http://schemas.openxmlformats.org/officeDocument/2006/relationships/hyperlink" Target="https://democracy.sheffield.gov.uk/documents/s58217/9.%20Appendix%201%20-%20Sheffield%20Care%20Sector%20Workforce%20Development%20Strategy.pdf" TargetMode="External"/><Relationship Id="rId19" Type="http://schemas.openxmlformats.org/officeDocument/2006/relationships/hyperlink" Target="https://democracy.sheffield.gov.uk/documents/s58217/9.%20Appendix%201%20-%20Sheffield%20Care%20Sector%20Workforce%20Development%20Strategy.pdf" TargetMode="External"/><Relationship Id="rId4" Type="http://schemas.openxmlformats.org/officeDocument/2006/relationships/settings" Target="settings.xml"/><Relationship Id="rId9" Type="http://schemas.openxmlformats.org/officeDocument/2006/relationships/hyperlink" Target="https://democracy.sheffield.gov.uk/documents/s57311/17.%20Appendix%201%20Market%20Sustainability%20Delivery%20Plan%20Jan23.pdf" TargetMode="External"/><Relationship Id="rId14" Type="http://schemas.openxmlformats.org/officeDocument/2006/relationships/hyperlink" Target="https://democracy.sheffield.gov.uk/documents/s58218/9.%20Appendix%202%20-%20Sheffield%20Care%20Sector%20Workforce%20Development%20Strategy%20Delivery%20Plan.pdf" TargetMode="External"/><Relationship Id="rId22" Type="http://schemas.openxmlformats.org/officeDocument/2006/relationships/hyperlink" Target="https://democracy.sheffield.gov.uk/documents/s52836/Report%20for%20AHSC%20Committee%20-%20Care%20and%20Wellbeing%20Services%20-%20Final%20Version%2010%20June%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0D27B-7894-4826-94D1-D5B83844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Laing</dc:creator>
  <cp:lastModifiedBy>Imogen Wood</cp:lastModifiedBy>
  <cp:revision>2</cp:revision>
  <cp:lastPrinted>2022-10-08T09:35:00Z</cp:lastPrinted>
  <dcterms:created xsi:type="dcterms:W3CDTF">2023-03-29T13:35:00Z</dcterms:created>
  <dcterms:modified xsi:type="dcterms:W3CDTF">2023-03-29T13:35:00Z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2022-10-14T12:18:30Z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2ba0275c-3d85-4a42-98a6-0398ac52deed</vt:lpwstr>
  </property>
  <property fmtid="{D5CDD505-2E9C-101B-9397-08002B2CF9AE}" pid="8" name="MSIP_Label_c8588358-c3f1-4695-a290-e2f70d15689d_ContentBits">
    <vt:lpwstr>0</vt:lpwstr>
  </property>
</Properties>
</file>