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64C89" w14:textId="77777777" w:rsidR="00DF5DE9" w:rsidRPr="00063160" w:rsidRDefault="00DF5DE9" w:rsidP="001D16C2"/>
    <w:p w14:paraId="0E732267" w14:textId="77777777" w:rsidR="00DF5DE9" w:rsidRPr="00063160" w:rsidRDefault="00DF5DE9" w:rsidP="00DF5DE9">
      <w:pPr>
        <w:jc w:val="center"/>
        <w:rPr>
          <w:b/>
          <w:sz w:val="32"/>
          <w:szCs w:val="32"/>
        </w:rPr>
      </w:pPr>
    </w:p>
    <w:p w14:paraId="71FB7BFE" w14:textId="77777777" w:rsidR="00DF5DE9" w:rsidRPr="00063160" w:rsidRDefault="00DF5DE9" w:rsidP="00DF5DE9">
      <w:pPr>
        <w:jc w:val="center"/>
        <w:rPr>
          <w:b/>
          <w:sz w:val="32"/>
          <w:szCs w:val="32"/>
        </w:rPr>
      </w:pPr>
    </w:p>
    <w:p w14:paraId="57D0B06A" w14:textId="77777777" w:rsidR="007531E2" w:rsidRDefault="006C3538" w:rsidP="006F145E">
      <w:pPr>
        <w:jc w:val="center"/>
        <w:rPr>
          <w:rFonts w:cs="Arial"/>
          <w:b/>
          <w:sz w:val="32"/>
          <w:szCs w:val="32"/>
        </w:rPr>
      </w:pPr>
      <w:r>
        <w:rPr>
          <w:rFonts w:cs="Arial"/>
          <w:b/>
          <w:sz w:val="32"/>
          <w:szCs w:val="32"/>
        </w:rPr>
        <w:t>Fair Cost of Care</w:t>
      </w:r>
    </w:p>
    <w:p w14:paraId="7C0CB722" w14:textId="0D4C57AC" w:rsidR="00FF059F" w:rsidRDefault="006C3538" w:rsidP="006F145E">
      <w:pPr>
        <w:jc w:val="center"/>
        <w:rPr>
          <w:rFonts w:cs="Arial"/>
          <w:b/>
          <w:sz w:val="32"/>
          <w:szCs w:val="32"/>
        </w:rPr>
      </w:pPr>
      <w:r>
        <w:rPr>
          <w:rFonts w:cs="Arial"/>
          <w:b/>
          <w:sz w:val="32"/>
          <w:szCs w:val="32"/>
        </w:rPr>
        <w:t>Care Homes</w:t>
      </w:r>
      <w:r w:rsidR="0070734C">
        <w:rPr>
          <w:rFonts w:cs="Arial"/>
          <w:b/>
          <w:sz w:val="32"/>
          <w:szCs w:val="32"/>
        </w:rPr>
        <w:t xml:space="preserve"> for Older People (65+)</w:t>
      </w:r>
    </w:p>
    <w:p w14:paraId="0EDA9162" w14:textId="422E2B30" w:rsidR="0075330D" w:rsidRDefault="006C3538" w:rsidP="006F145E">
      <w:pPr>
        <w:jc w:val="center"/>
        <w:rPr>
          <w:rFonts w:cs="Arial"/>
          <w:b/>
          <w:sz w:val="32"/>
          <w:szCs w:val="32"/>
        </w:rPr>
      </w:pPr>
      <w:r>
        <w:rPr>
          <w:rFonts w:cs="Arial"/>
          <w:b/>
          <w:sz w:val="32"/>
          <w:szCs w:val="32"/>
        </w:rPr>
        <w:t xml:space="preserve">Results and Analysis from </w:t>
      </w:r>
      <w:r w:rsidR="003C5F0D">
        <w:rPr>
          <w:rFonts w:cs="Arial"/>
          <w:b/>
          <w:sz w:val="32"/>
          <w:szCs w:val="32"/>
        </w:rPr>
        <w:t xml:space="preserve">FCoC </w:t>
      </w:r>
      <w:r>
        <w:rPr>
          <w:rFonts w:cs="Arial"/>
          <w:b/>
          <w:sz w:val="32"/>
          <w:szCs w:val="32"/>
        </w:rPr>
        <w:t xml:space="preserve">Toolkits submitted by Providers located in </w:t>
      </w:r>
    </w:p>
    <w:p w14:paraId="3D5FFE47" w14:textId="11320305" w:rsidR="00DF5DE9" w:rsidRPr="000111FF" w:rsidRDefault="000111FF" w:rsidP="000111FF">
      <w:pPr>
        <w:jc w:val="center"/>
        <w:rPr>
          <w:b/>
          <w:bCs/>
          <w:sz w:val="32"/>
          <w:szCs w:val="32"/>
        </w:rPr>
      </w:pPr>
      <w:r w:rsidRPr="000111FF">
        <w:rPr>
          <w:b/>
          <w:bCs/>
          <w:sz w:val="32"/>
        </w:rPr>
        <w:t>Sheffield Council</w:t>
      </w:r>
    </w:p>
    <w:p w14:paraId="26AACB6D" w14:textId="77777777" w:rsidR="00DF5DE9" w:rsidRDefault="00DF5DE9" w:rsidP="00DF5DE9">
      <w:pPr>
        <w:jc w:val="center"/>
        <w:rPr>
          <w:b/>
          <w:sz w:val="32"/>
          <w:szCs w:val="32"/>
        </w:rPr>
      </w:pPr>
    </w:p>
    <w:p w14:paraId="014AE214" w14:textId="77777777" w:rsidR="006F145E" w:rsidRDefault="006F145E" w:rsidP="00DF5DE9">
      <w:pPr>
        <w:jc w:val="center"/>
        <w:rPr>
          <w:b/>
          <w:sz w:val="32"/>
          <w:szCs w:val="32"/>
        </w:rPr>
      </w:pPr>
    </w:p>
    <w:p w14:paraId="30CFC5B3" w14:textId="77777777" w:rsidR="006F145E" w:rsidRPr="00063160" w:rsidRDefault="006F145E" w:rsidP="00DF5DE9">
      <w:pPr>
        <w:jc w:val="center"/>
        <w:rPr>
          <w:b/>
          <w:sz w:val="32"/>
          <w:szCs w:val="32"/>
        </w:rPr>
      </w:pPr>
    </w:p>
    <w:p w14:paraId="2DE032DB" w14:textId="39074FBB" w:rsidR="00DF5DE9" w:rsidRPr="00063160" w:rsidRDefault="00256D35" w:rsidP="00DF5DE9">
      <w:pPr>
        <w:jc w:val="center"/>
        <w:rPr>
          <w:b/>
          <w:sz w:val="32"/>
          <w:szCs w:val="32"/>
        </w:rPr>
      </w:pPr>
      <w:r>
        <w:rPr>
          <w:b/>
          <w:sz w:val="32"/>
          <w:szCs w:val="32"/>
        </w:rPr>
        <w:t>FINAL</w:t>
      </w:r>
      <w:r w:rsidR="006C3538">
        <w:rPr>
          <w:b/>
          <w:sz w:val="32"/>
          <w:szCs w:val="32"/>
        </w:rPr>
        <w:t xml:space="preserve"> </w:t>
      </w:r>
      <w:r w:rsidR="006C3538" w:rsidRPr="00063160">
        <w:rPr>
          <w:b/>
          <w:sz w:val="32"/>
          <w:szCs w:val="32"/>
        </w:rPr>
        <w:t xml:space="preserve">REPORT </w:t>
      </w:r>
      <w:r w:rsidR="00AD7056">
        <w:rPr>
          <w:b/>
          <w:bCs/>
          <w:sz w:val="32"/>
        </w:rPr>
        <w:t>13</w:t>
      </w:r>
      <w:r w:rsidR="000111FF" w:rsidRPr="000111FF">
        <w:rPr>
          <w:b/>
          <w:bCs/>
          <w:sz w:val="32"/>
        </w:rPr>
        <w:t>th</w:t>
      </w:r>
      <w:r w:rsidR="0049443B">
        <w:rPr>
          <w:b/>
          <w:sz w:val="32"/>
          <w:szCs w:val="32"/>
        </w:rPr>
        <w:t xml:space="preserve"> </w:t>
      </w:r>
      <w:r w:rsidR="004E7847">
        <w:rPr>
          <w:b/>
          <w:sz w:val="32"/>
          <w:szCs w:val="32"/>
        </w:rPr>
        <w:t>Octo</w:t>
      </w:r>
      <w:r w:rsidR="00953E28">
        <w:rPr>
          <w:b/>
          <w:sz w:val="32"/>
          <w:szCs w:val="32"/>
        </w:rPr>
        <w:t xml:space="preserve">ber </w:t>
      </w:r>
      <w:r w:rsidR="0049443B">
        <w:rPr>
          <w:b/>
          <w:sz w:val="32"/>
          <w:szCs w:val="32"/>
        </w:rPr>
        <w:t>2022</w:t>
      </w:r>
    </w:p>
    <w:p w14:paraId="0D0BBDD6" w14:textId="77777777" w:rsidR="00DF5DE9" w:rsidRPr="00063160" w:rsidRDefault="006C3538" w:rsidP="009B080C">
      <w:pPr>
        <w:tabs>
          <w:tab w:val="left" w:pos="9790"/>
        </w:tabs>
        <w:rPr>
          <w:b/>
          <w:sz w:val="32"/>
          <w:szCs w:val="32"/>
        </w:rPr>
      </w:pPr>
      <w:r>
        <w:rPr>
          <w:b/>
          <w:sz w:val="32"/>
          <w:szCs w:val="32"/>
        </w:rPr>
        <w:tab/>
      </w:r>
    </w:p>
    <w:p w14:paraId="167E7467" w14:textId="77777777" w:rsidR="00DF5DE9" w:rsidRPr="00063160" w:rsidRDefault="00DF5DE9" w:rsidP="00DF5DE9">
      <w:pPr>
        <w:jc w:val="center"/>
        <w:rPr>
          <w:b/>
          <w:sz w:val="32"/>
          <w:szCs w:val="32"/>
        </w:rPr>
      </w:pPr>
    </w:p>
    <w:p w14:paraId="0C44515A" w14:textId="33BCFA78" w:rsidR="007C518D" w:rsidRPr="00063160" w:rsidRDefault="006C3538" w:rsidP="002236ED">
      <w:pPr>
        <w:jc w:val="center"/>
        <w:rPr>
          <w:b/>
          <w:sz w:val="32"/>
          <w:szCs w:val="32"/>
        </w:rPr>
      </w:pPr>
      <w:r w:rsidRPr="00063160">
        <w:rPr>
          <w:b/>
          <w:sz w:val="32"/>
          <w:szCs w:val="32"/>
        </w:rPr>
        <w:t xml:space="preserve">Prepared for </w:t>
      </w:r>
      <w:r w:rsidR="000111FF" w:rsidRPr="000111FF">
        <w:rPr>
          <w:b/>
          <w:bCs/>
          <w:sz w:val="32"/>
        </w:rPr>
        <w:t>Sheffield Council</w:t>
      </w:r>
      <w:r w:rsidR="00953E28">
        <w:rPr>
          <w:sz w:val="32"/>
        </w:rPr>
        <w:t xml:space="preserve"> </w:t>
      </w:r>
      <w:r w:rsidR="002236ED" w:rsidRPr="00063160">
        <w:rPr>
          <w:b/>
          <w:sz w:val="32"/>
          <w:szCs w:val="32"/>
        </w:rPr>
        <w:t xml:space="preserve">by </w:t>
      </w:r>
      <w:r w:rsidRPr="00063160">
        <w:rPr>
          <w:b/>
          <w:sz w:val="32"/>
          <w:szCs w:val="32"/>
        </w:rPr>
        <w:t>LaingBuisson</w:t>
      </w:r>
    </w:p>
    <w:p w14:paraId="33F18ED3" w14:textId="77777777" w:rsidR="00DF5DE9" w:rsidRPr="00063160" w:rsidRDefault="00DF5DE9">
      <w:pPr>
        <w:rPr>
          <w:b/>
          <w:sz w:val="32"/>
          <w:szCs w:val="32"/>
        </w:rPr>
      </w:pPr>
    </w:p>
    <w:p w14:paraId="5500FB6C" w14:textId="77777777" w:rsidR="00A016E4" w:rsidRPr="008C12E7" w:rsidRDefault="006C3538" w:rsidP="008C12E7">
      <w:pPr>
        <w:rPr>
          <w:color w:val="750B52"/>
          <w:sz w:val="40"/>
          <w:szCs w:val="40"/>
        </w:rPr>
      </w:pPr>
      <w:r w:rsidRPr="008C12E7">
        <w:rPr>
          <w:color w:val="750B52"/>
          <w:sz w:val="40"/>
          <w:szCs w:val="40"/>
        </w:rPr>
        <w:lastRenderedPageBreak/>
        <w:t>CONTENTS</w:t>
      </w:r>
    </w:p>
    <w:p w14:paraId="0D52F63D" w14:textId="2348290B" w:rsidR="00F36AEA" w:rsidRDefault="006C3538">
      <w:pPr>
        <w:pStyle w:val="TOC1"/>
        <w:rPr>
          <w:rFonts w:asciiTheme="minorHAnsi" w:eastAsiaTheme="minorEastAsia" w:hAnsiTheme="minorHAnsi" w:cstheme="minorBidi"/>
          <w:noProof/>
          <w:color w:val="auto"/>
          <w:sz w:val="22"/>
          <w:szCs w:val="22"/>
        </w:rPr>
      </w:pPr>
      <w:r>
        <w:fldChar w:fldCharType="begin"/>
      </w:r>
      <w:r>
        <w:instrText xml:space="preserve"> TOC \o "1-3" \h \z </w:instrText>
      </w:r>
      <w:r>
        <w:fldChar w:fldCharType="separate"/>
      </w:r>
      <w:hyperlink w:anchor="_Toc116555539" w:history="1">
        <w:r w:rsidR="00F36AEA" w:rsidRPr="004605FD">
          <w:rPr>
            <w:rStyle w:val="Hyperlink"/>
            <w:noProof/>
          </w:rPr>
          <w:t>1 EXECUTIVE SUMMARY</w:t>
        </w:r>
        <w:r w:rsidR="00F36AEA">
          <w:rPr>
            <w:noProof/>
            <w:webHidden/>
          </w:rPr>
          <w:tab/>
        </w:r>
        <w:r w:rsidR="00F36AEA">
          <w:rPr>
            <w:noProof/>
            <w:webHidden/>
          </w:rPr>
          <w:fldChar w:fldCharType="begin"/>
        </w:r>
        <w:r w:rsidR="00F36AEA">
          <w:rPr>
            <w:noProof/>
            <w:webHidden/>
          </w:rPr>
          <w:instrText xml:space="preserve"> PAGEREF _Toc116555539 \h </w:instrText>
        </w:r>
        <w:r w:rsidR="00F36AEA">
          <w:rPr>
            <w:noProof/>
            <w:webHidden/>
          </w:rPr>
        </w:r>
        <w:r w:rsidR="00F36AEA">
          <w:rPr>
            <w:noProof/>
            <w:webHidden/>
          </w:rPr>
          <w:fldChar w:fldCharType="separate"/>
        </w:r>
        <w:r w:rsidR="00F36AEA">
          <w:rPr>
            <w:noProof/>
            <w:webHidden/>
          </w:rPr>
          <w:t>4</w:t>
        </w:r>
        <w:r w:rsidR="00F36AEA">
          <w:rPr>
            <w:noProof/>
            <w:webHidden/>
          </w:rPr>
          <w:fldChar w:fldCharType="end"/>
        </w:r>
      </w:hyperlink>
    </w:p>
    <w:p w14:paraId="42BD314A" w14:textId="1B20B5B2" w:rsidR="00F36AEA" w:rsidRDefault="00655B21">
      <w:pPr>
        <w:pStyle w:val="TOC2"/>
        <w:rPr>
          <w:rFonts w:asciiTheme="minorHAnsi" w:eastAsiaTheme="minorEastAsia" w:hAnsiTheme="minorHAnsi" w:cstheme="minorBidi"/>
          <w:noProof/>
          <w:color w:val="auto"/>
          <w:sz w:val="22"/>
          <w:szCs w:val="22"/>
        </w:rPr>
      </w:pPr>
      <w:hyperlink w:anchor="_Toc116555540" w:history="1">
        <w:r w:rsidR="00F36AEA" w:rsidRPr="004605FD">
          <w:rPr>
            <w:rStyle w:val="Hyperlink"/>
            <w:noProof/>
          </w:rPr>
          <w:t>1.1 Headline results</w:t>
        </w:r>
        <w:r w:rsidR="00F36AEA">
          <w:rPr>
            <w:noProof/>
            <w:webHidden/>
          </w:rPr>
          <w:tab/>
        </w:r>
        <w:r w:rsidR="00F36AEA">
          <w:rPr>
            <w:noProof/>
            <w:webHidden/>
          </w:rPr>
          <w:fldChar w:fldCharType="begin"/>
        </w:r>
        <w:r w:rsidR="00F36AEA">
          <w:rPr>
            <w:noProof/>
            <w:webHidden/>
          </w:rPr>
          <w:instrText xml:space="preserve"> PAGEREF _Toc116555540 \h </w:instrText>
        </w:r>
        <w:r w:rsidR="00F36AEA">
          <w:rPr>
            <w:noProof/>
            <w:webHidden/>
          </w:rPr>
        </w:r>
        <w:r w:rsidR="00F36AEA">
          <w:rPr>
            <w:noProof/>
            <w:webHidden/>
          </w:rPr>
          <w:fldChar w:fldCharType="separate"/>
        </w:r>
        <w:r w:rsidR="00F36AEA">
          <w:rPr>
            <w:noProof/>
            <w:webHidden/>
          </w:rPr>
          <w:t>5</w:t>
        </w:r>
        <w:r w:rsidR="00F36AEA">
          <w:rPr>
            <w:noProof/>
            <w:webHidden/>
          </w:rPr>
          <w:fldChar w:fldCharType="end"/>
        </w:r>
      </w:hyperlink>
    </w:p>
    <w:p w14:paraId="6F18C763" w14:textId="37FC908C" w:rsidR="00F36AEA" w:rsidRDefault="00655B21">
      <w:pPr>
        <w:pStyle w:val="TOC2"/>
        <w:rPr>
          <w:rFonts w:asciiTheme="minorHAnsi" w:eastAsiaTheme="minorEastAsia" w:hAnsiTheme="minorHAnsi" w:cstheme="minorBidi"/>
          <w:noProof/>
          <w:color w:val="auto"/>
          <w:sz w:val="22"/>
          <w:szCs w:val="22"/>
        </w:rPr>
      </w:pPr>
      <w:hyperlink w:anchor="_Toc116555541" w:history="1">
        <w:r w:rsidR="00F36AEA" w:rsidRPr="004605FD">
          <w:rPr>
            <w:rStyle w:val="Hyperlink"/>
            <w:noProof/>
          </w:rPr>
          <w:t>1.2 Response rates</w:t>
        </w:r>
        <w:r w:rsidR="00F36AEA">
          <w:rPr>
            <w:noProof/>
            <w:webHidden/>
          </w:rPr>
          <w:tab/>
        </w:r>
        <w:r w:rsidR="00F36AEA">
          <w:rPr>
            <w:noProof/>
            <w:webHidden/>
          </w:rPr>
          <w:fldChar w:fldCharType="begin"/>
        </w:r>
        <w:r w:rsidR="00F36AEA">
          <w:rPr>
            <w:noProof/>
            <w:webHidden/>
          </w:rPr>
          <w:instrText xml:space="preserve"> PAGEREF _Toc116555541 \h </w:instrText>
        </w:r>
        <w:r w:rsidR="00F36AEA">
          <w:rPr>
            <w:noProof/>
            <w:webHidden/>
          </w:rPr>
        </w:r>
        <w:r w:rsidR="00F36AEA">
          <w:rPr>
            <w:noProof/>
            <w:webHidden/>
          </w:rPr>
          <w:fldChar w:fldCharType="separate"/>
        </w:r>
        <w:r w:rsidR="00F36AEA">
          <w:rPr>
            <w:noProof/>
            <w:webHidden/>
          </w:rPr>
          <w:t>5</w:t>
        </w:r>
        <w:r w:rsidR="00F36AEA">
          <w:rPr>
            <w:noProof/>
            <w:webHidden/>
          </w:rPr>
          <w:fldChar w:fldCharType="end"/>
        </w:r>
      </w:hyperlink>
    </w:p>
    <w:p w14:paraId="24A60333" w14:textId="011CEBC8" w:rsidR="00F36AEA" w:rsidRDefault="00655B21">
      <w:pPr>
        <w:pStyle w:val="TOC2"/>
        <w:rPr>
          <w:rFonts w:asciiTheme="minorHAnsi" w:eastAsiaTheme="minorEastAsia" w:hAnsiTheme="minorHAnsi" w:cstheme="minorBidi"/>
          <w:noProof/>
          <w:color w:val="auto"/>
          <w:sz w:val="22"/>
          <w:szCs w:val="22"/>
        </w:rPr>
      </w:pPr>
      <w:hyperlink w:anchor="_Toc116555542" w:history="1">
        <w:r w:rsidR="00F36AEA" w:rsidRPr="004605FD">
          <w:rPr>
            <w:rStyle w:val="Hyperlink"/>
            <w:noProof/>
          </w:rPr>
          <w:t>1.3 Methodology - validation, correction of anomalies, outlier exclusions and calculation of medians</w:t>
        </w:r>
        <w:r w:rsidR="00F36AEA">
          <w:rPr>
            <w:noProof/>
            <w:webHidden/>
          </w:rPr>
          <w:tab/>
        </w:r>
        <w:r w:rsidR="00F36AEA">
          <w:rPr>
            <w:noProof/>
            <w:webHidden/>
          </w:rPr>
          <w:fldChar w:fldCharType="begin"/>
        </w:r>
        <w:r w:rsidR="00F36AEA">
          <w:rPr>
            <w:noProof/>
            <w:webHidden/>
          </w:rPr>
          <w:instrText xml:space="preserve"> PAGEREF _Toc116555542 \h </w:instrText>
        </w:r>
        <w:r w:rsidR="00F36AEA">
          <w:rPr>
            <w:noProof/>
            <w:webHidden/>
          </w:rPr>
        </w:r>
        <w:r w:rsidR="00F36AEA">
          <w:rPr>
            <w:noProof/>
            <w:webHidden/>
          </w:rPr>
          <w:fldChar w:fldCharType="separate"/>
        </w:r>
        <w:r w:rsidR="00F36AEA">
          <w:rPr>
            <w:noProof/>
            <w:webHidden/>
          </w:rPr>
          <w:t>6</w:t>
        </w:r>
        <w:r w:rsidR="00F36AEA">
          <w:rPr>
            <w:noProof/>
            <w:webHidden/>
          </w:rPr>
          <w:fldChar w:fldCharType="end"/>
        </w:r>
      </w:hyperlink>
    </w:p>
    <w:p w14:paraId="0FD5741A" w14:textId="0443FE45" w:rsidR="00F36AEA" w:rsidRDefault="00655B21">
      <w:pPr>
        <w:pStyle w:val="TOC2"/>
        <w:rPr>
          <w:rFonts w:asciiTheme="minorHAnsi" w:eastAsiaTheme="minorEastAsia" w:hAnsiTheme="minorHAnsi" w:cstheme="minorBidi"/>
          <w:noProof/>
          <w:color w:val="auto"/>
          <w:sz w:val="22"/>
          <w:szCs w:val="22"/>
        </w:rPr>
      </w:pPr>
      <w:hyperlink w:anchor="_Toc116555543" w:history="1">
        <w:r w:rsidR="00F36AEA" w:rsidRPr="004605FD">
          <w:rPr>
            <w:rStyle w:val="Hyperlink"/>
            <w:noProof/>
          </w:rPr>
          <w:t>1.4 Sensitivity analysis</w:t>
        </w:r>
        <w:r w:rsidR="00F36AEA">
          <w:rPr>
            <w:noProof/>
            <w:webHidden/>
          </w:rPr>
          <w:tab/>
        </w:r>
        <w:r w:rsidR="00F36AEA">
          <w:rPr>
            <w:noProof/>
            <w:webHidden/>
          </w:rPr>
          <w:fldChar w:fldCharType="begin"/>
        </w:r>
        <w:r w:rsidR="00F36AEA">
          <w:rPr>
            <w:noProof/>
            <w:webHidden/>
          </w:rPr>
          <w:instrText xml:space="preserve"> PAGEREF _Toc116555543 \h </w:instrText>
        </w:r>
        <w:r w:rsidR="00F36AEA">
          <w:rPr>
            <w:noProof/>
            <w:webHidden/>
          </w:rPr>
        </w:r>
        <w:r w:rsidR="00F36AEA">
          <w:rPr>
            <w:noProof/>
            <w:webHidden/>
          </w:rPr>
          <w:fldChar w:fldCharType="separate"/>
        </w:r>
        <w:r w:rsidR="00F36AEA">
          <w:rPr>
            <w:noProof/>
            <w:webHidden/>
          </w:rPr>
          <w:t>6</w:t>
        </w:r>
        <w:r w:rsidR="00F36AEA">
          <w:rPr>
            <w:noProof/>
            <w:webHidden/>
          </w:rPr>
          <w:fldChar w:fldCharType="end"/>
        </w:r>
      </w:hyperlink>
    </w:p>
    <w:p w14:paraId="0AD3C23F" w14:textId="499DD3CF" w:rsidR="00F36AEA" w:rsidRDefault="00655B21">
      <w:pPr>
        <w:pStyle w:val="TOC2"/>
        <w:rPr>
          <w:rFonts w:asciiTheme="minorHAnsi" w:eastAsiaTheme="minorEastAsia" w:hAnsiTheme="minorHAnsi" w:cstheme="minorBidi"/>
          <w:noProof/>
          <w:color w:val="auto"/>
          <w:sz w:val="22"/>
          <w:szCs w:val="22"/>
        </w:rPr>
      </w:pPr>
      <w:hyperlink w:anchor="_Toc116555544" w:history="1">
        <w:r w:rsidR="00F36AEA" w:rsidRPr="004605FD">
          <w:rPr>
            <w:rStyle w:val="Hyperlink"/>
            <w:noProof/>
          </w:rPr>
          <w:t>1.5 Confidence intervals</w:t>
        </w:r>
        <w:r w:rsidR="00F36AEA">
          <w:rPr>
            <w:noProof/>
            <w:webHidden/>
          </w:rPr>
          <w:tab/>
        </w:r>
        <w:r w:rsidR="00F36AEA">
          <w:rPr>
            <w:noProof/>
            <w:webHidden/>
          </w:rPr>
          <w:fldChar w:fldCharType="begin"/>
        </w:r>
        <w:r w:rsidR="00F36AEA">
          <w:rPr>
            <w:noProof/>
            <w:webHidden/>
          </w:rPr>
          <w:instrText xml:space="preserve"> PAGEREF _Toc116555544 \h </w:instrText>
        </w:r>
        <w:r w:rsidR="00F36AEA">
          <w:rPr>
            <w:noProof/>
            <w:webHidden/>
          </w:rPr>
        </w:r>
        <w:r w:rsidR="00F36AEA">
          <w:rPr>
            <w:noProof/>
            <w:webHidden/>
          </w:rPr>
          <w:fldChar w:fldCharType="separate"/>
        </w:r>
        <w:r w:rsidR="00F36AEA">
          <w:rPr>
            <w:noProof/>
            <w:webHidden/>
          </w:rPr>
          <w:t>6</w:t>
        </w:r>
        <w:r w:rsidR="00F36AEA">
          <w:rPr>
            <w:noProof/>
            <w:webHidden/>
          </w:rPr>
          <w:fldChar w:fldCharType="end"/>
        </w:r>
      </w:hyperlink>
    </w:p>
    <w:p w14:paraId="78CF9239" w14:textId="2A6D073F" w:rsidR="00F36AEA" w:rsidRDefault="00655B21">
      <w:pPr>
        <w:pStyle w:val="TOC2"/>
        <w:rPr>
          <w:rFonts w:asciiTheme="minorHAnsi" w:eastAsiaTheme="minorEastAsia" w:hAnsiTheme="minorHAnsi" w:cstheme="minorBidi"/>
          <w:noProof/>
          <w:color w:val="auto"/>
          <w:sz w:val="22"/>
          <w:szCs w:val="22"/>
        </w:rPr>
      </w:pPr>
      <w:hyperlink w:anchor="_Toc116555545" w:history="1">
        <w:r w:rsidR="00F36AEA" w:rsidRPr="004605FD">
          <w:rPr>
            <w:rStyle w:val="Hyperlink"/>
            <w:noProof/>
          </w:rPr>
          <w:t>1.6 Special local factors</w:t>
        </w:r>
        <w:r w:rsidR="00F36AEA">
          <w:rPr>
            <w:noProof/>
            <w:webHidden/>
          </w:rPr>
          <w:tab/>
        </w:r>
        <w:r w:rsidR="00F36AEA">
          <w:rPr>
            <w:noProof/>
            <w:webHidden/>
          </w:rPr>
          <w:fldChar w:fldCharType="begin"/>
        </w:r>
        <w:r w:rsidR="00F36AEA">
          <w:rPr>
            <w:noProof/>
            <w:webHidden/>
          </w:rPr>
          <w:instrText xml:space="preserve"> PAGEREF _Toc116555545 \h </w:instrText>
        </w:r>
        <w:r w:rsidR="00F36AEA">
          <w:rPr>
            <w:noProof/>
            <w:webHidden/>
          </w:rPr>
        </w:r>
        <w:r w:rsidR="00F36AEA">
          <w:rPr>
            <w:noProof/>
            <w:webHidden/>
          </w:rPr>
          <w:fldChar w:fldCharType="separate"/>
        </w:r>
        <w:r w:rsidR="00F36AEA">
          <w:rPr>
            <w:noProof/>
            <w:webHidden/>
          </w:rPr>
          <w:t>7</w:t>
        </w:r>
        <w:r w:rsidR="00F36AEA">
          <w:rPr>
            <w:noProof/>
            <w:webHidden/>
          </w:rPr>
          <w:fldChar w:fldCharType="end"/>
        </w:r>
      </w:hyperlink>
    </w:p>
    <w:p w14:paraId="4E297C68" w14:textId="0F2CA0D0" w:rsidR="00F36AEA" w:rsidRDefault="00655B21">
      <w:pPr>
        <w:pStyle w:val="TOC2"/>
        <w:rPr>
          <w:rFonts w:asciiTheme="minorHAnsi" w:eastAsiaTheme="minorEastAsia" w:hAnsiTheme="minorHAnsi" w:cstheme="minorBidi"/>
          <w:noProof/>
          <w:color w:val="auto"/>
          <w:sz w:val="22"/>
          <w:szCs w:val="22"/>
        </w:rPr>
      </w:pPr>
      <w:hyperlink w:anchor="_Toc116555546" w:history="1">
        <w:r w:rsidR="00F36AEA" w:rsidRPr="004605FD">
          <w:rPr>
            <w:rStyle w:val="Hyperlink"/>
            <w:noProof/>
          </w:rPr>
          <w:t>1.7 Conclusions</w:t>
        </w:r>
        <w:r w:rsidR="00F36AEA">
          <w:rPr>
            <w:noProof/>
            <w:webHidden/>
          </w:rPr>
          <w:tab/>
        </w:r>
        <w:r w:rsidR="00F36AEA">
          <w:rPr>
            <w:noProof/>
            <w:webHidden/>
          </w:rPr>
          <w:fldChar w:fldCharType="begin"/>
        </w:r>
        <w:r w:rsidR="00F36AEA">
          <w:rPr>
            <w:noProof/>
            <w:webHidden/>
          </w:rPr>
          <w:instrText xml:space="preserve"> PAGEREF _Toc116555546 \h </w:instrText>
        </w:r>
        <w:r w:rsidR="00F36AEA">
          <w:rPr>
            <w:noProof/>
            <w:webHidden/>
          </w:rPr>
        </w:r>
        <w:r w:rsidR="00F36AEA">
          <w:rPr>
            <w:noProof/>
            <w:webHidden/>
          </w:rPr>
          <w:fldChar w:fldCharType="separate"/>
        </w:r>
        <w:r w:rsidR="00F36AEA">
          <w:rPr>
            <w:noProof/>
            <w:webHidden/>
          </w:rPr>
          <w:t>7</w:t>
        </w:r>
        <w:r w:rsidR="00F36AEA">
          <w:rPr>
            <w:noProof/>
            <w:webHidden/>
          </w:rPr>
          <w:fldChar w:fldCharType="end"/>
        </w:r>
      </w:hyperlink>
    </w:p>
    <w:p w14:paraId="28968A9C" w14:textId="62F42AA4" w:rsidR="00F36AEA" w:rsidRDefault="00655B21">
      <w:pPr>
        <w:pStyle w:val="TOC1"/>
        <w:rPr>
          <w:rFonts w:asciiTheme="minorHAnsi" w:eastAsiaTheme="minorEastAsia" w:hAnsiTheme="minorHAnsi" w:cstheme="minorBidi"/>
          <w:noProof/>
          <w:color w:val="auto"/>
          <w:sz w:val="22"/>
          <w:szCs w:val="22"/>
        </w:rPr>
      </w:pPr>
      <w:hyperlink w:anchor="_Toc116555547" w:history="1">
        <w:r w:rsidR="00F36AEA" w:rsidRPr="004605FD">
          <w:rPr>
            <w:rStyle w:val="Hyperlink"/>
            <w:noProof/>
          </w:rPr>
          <w:t>2.</w:t>
        </w:r>
        <w:r w:rsidR="00F36AEA">
          <w:rPr>
            <w:rFonts w:asciiTheme="minorHAnsi" w:eastAsiaTheme="minorEastAsia" w:hAnsiTheme="minorHAnsi" w:cstheme="minorBidi"/>
            <w:noProof/>
            <w:color w:val="auto"/>
            <w:sz w:val="22"/>
            <w:szCs w:val="22"/>
          </w:rPr>
          <w:tab/>
        </w:r>
        <w:r w:rsidR="00F36AEA" w:rsidRPr="004605FD">
          <w:rPr>
            <w:rStyle w:val="Hyperlink"/>
            <w:noProof/>
          </w:rPr>
          <w:t>FAIR COST OF CARE RESULTS FOR SUBMISSION TO DHSC</w:t>
        </w:r>
        <w:r w:rsidR="00F36AEA">
          <w:rPr>
            <w:noProof/>
            <w:webHidden/>
          </w:rPr>
          <w:tab/>
        </w:r>
        <w:r w:rsidR="00F36AEA">
          <w:rPr>
            <w:noProof/>
            <w:webHidden/>
          </w:rPr>
          <w:fldChar w:fldCharType="begin"/>
        </w:r>
        <w:r w:rsidR="00F36AEA">
          <w:rPr>
            <w:noProof/>
            <w:webHidden/>
          </w:rPr>
          <w:instrText xml:space="preserve"> PAGEREF _Toc116555547 \h </w:instrText>
        </w:r>
        <w:r w:rsidR="00F36AEA">
          <w:rPr>
            <w:noProof/>
            <w:webHidden/>
          </w:rPr>
        </w:r>
        <w:r w:rsidR="00F36AEA">
          <w:rPr>
            <w:noProof/>
            <w:webHidden/>
          </w:rPr>
          <w:fldChar w:fldCharType="separate"/>
        </w:r>
        <w:r w:rsidR="00F36AEA">
          <w:rPr>
            <w:noProof/>
            <w:webHidden/>
          </w:rPr>
          <w:t>8</w:t>
        </w:r>
        <w:r w:rsidR="00F36AEA">
          <w:rPr>
            <w:noProof/>
            <w:webHidden/>
          </w:rPr>
          <w:fldChar w:fldCharType="end"/>
        </w:r>
      </w:hyperlink>
    </w:p>
    <w:p w14:paraId="32503A92" w14:textId="180C19B8" w:rsidR="00F36AEA" w:rsidRDefault="00655B21">
      <w:pPr>
        <w:pStyle w:val="TOC2"/>
        <w:rPr>
          <w:rFonts w:asciiTheme="minorHAnsi" w:eastAsiaTheme="minorEastAsia" w:hAnsiTheme="minorHAnsi" w:cstheme="minorBidi"/>
          <w:noProof/>
          <w:color w:val="auto"/>
          <w:sz w:val="22"/>
          <w:szCs w:val="22"/>
        </w:rPr>
      </w:pPr>
      <w:hyperlink w:anchor="_Toc116555548" w:history="1">
        <w:r w:rsidR="00F36AEA" w:rsidRPr="004605FD">
          <w:rPr>
            <w:rStyle w:val="Hyperlink"/>
            <w:noProof/>
          </w:rPr>
          <w:t>2.1 The IESE toolkit</w:t>
        </w:r>
        <w:r w:rsidR="00F36AEA">
          <w:rPr>
            <w:noProof/>
            <w:webHidden/>
          </w:rPr>
          <w:tab/>
        </w:r>
        <w:r w:rsidR="00F36AEA">
          <w:rPr>
            <w:noProof/>
            <w:webHidden/>
          </w:rPr>
          <w:fldChar w:fldCharType="begin"/>
        </w:r>
        <w:r w:rsidR="00F36AEA">
          <w:rPr>
            <w:noProof/>
            <w:webHidden/>
          </w:rPr>
          <w:instrText xml:space="preserve"> PAGEREF _Toc116555548 \h </w:instrText>
        </w:r>
        <w:r w:rsidR="00F36AEA">
          <w:rPr>
            <w:noProof/>
            <w:webHidden/>
          </w:rPr>
        </w:r>
        <w:r w:rsidR="00F36AEA">
          <w:rPr>
            <w:noProof/>
            <w:webHidden/>
          </w:rPr>
          <w:fldChar w:fldCharType="separate"/>
        </w:r>
        <w:r w:rsidR="00F36AEA">
          <w:rPr>
            <w:noProof/>
            <w:webHidden/>
          </w:rPr>
          <w:t>8</w:t>
        </w:r>
        <w:r w:rsidR="00F36AEA">
          <w:rPr>
            <w:noProof/>
            <w:webHidden/>
          </w:rPr>
          <w:fldChar w:fldCharType="end"/>
        </w:r>
      </w:hyperlink>
    </w:p>
    <w:p w14:paraId="4AE3B9D9" w14:textId="3661CF46" w:rsidR="00F36AEA" w:rsidRDefault="00655B21">
      <w:pPr>
        <w:pStyle w:val="TOC2"/>
        <w:rPr>
          <w:rFonts w:asciiTheme="minorHAnsi" w:eastAsiaTheme="minorEastAsia" w:hAnsiTheme="minorHAnsi" w:cstheme="minorBidi"/>
          <w:noProof/>
          <w:color w:val="auto"/>
          <w:sz w:val="22"/>
          <w:szCs w:val="22"/>
        </w:rPr>
      </w:pPr>
      <w:hyperlink w:anchor="_Toc116555549" w:history="1">
        <w:r w:rsidR="00F36AEA" w:rsidRPr="004605FD">
          <w:rPr>
            <w:rStyle w:val="Hyperlink"/>
            <w:noProof/>
          </w:rPr>
          <w:t>2.2 Services in scope</w:t>
        </w:r>
        <w:r w:rsidR="00F36AEA">
          <w:rPr>
            <w:noProof/>
            <w:webHidden/>
          </w:rPr>
          <w:tab/>
        </w:r>
        <w:r w:rsidR="00F36AEA">
          <w:rPr>
            <w:noProof/>
            <w:webHidden/>
          </w:rPr>
          <w:fldChar w:fldCharType="begin"/>
        </w:r>
        <w:r w:rsidR="00F36AEA">
          <w:rPr>
            <w:noProof/>
            <w:webHidden/>
          </w:rPr>
          <w:instrText xml:space="preserve"> PAGEREF _Toc116555549 \h </w:instrText>
        </w:r>
        <w:r w:rsidR="00F36AEA">
          <w:rPr>
            <w:noProof/>
            <w:webHidden/>
          </w:rPr>
        </w:r>
        <w:r w:rsidR="00F36AEA">
          <w:rPr>
            <w:noProof/>
            <w:webHidden/>
          </w:rPr>
          <w:fldChar w:fldCharType="separate"/>
        </w:r>
        <w:r w:rsidR="00F36AEA">
          <w:rPr>
            <w:noProof/>
            <w:webHidden/>
          </w:rPr>
          <w:t>8</w:t>
        </w:r>
        <w:r w:rsidR="00F36AEA">
          <w:rPr>
            <w:noProof/>
            <w:webHidden/>
          </w:rPr>
          <w:fldChar w:fldCharType="end"/>
        </w:r>
      </w:hyperlink>
    </w:p>
    <w:p w14:paraId="1D5D8643" w14:textId="05118AD6" w:rsidR="00F36AEA" w:rsidRDefault="00655B21">
      <w:pPr>
        <w:pStyle w:val="TOC2"/>
        <w:rPr>
          <w:rFonts w:asciiTheme="minorHAnsi" w:eastAsiaTheme="minorEastAsia" w:hAnsiTheme="minorHAnsi" w:cstheme="minorBidi"/>
          <w:noProof/>
          <w:color w:val="auto"/>
          <w:sz w:val="22"/>
          <w:szCs w:val="22"/>
        </w:rPr>
      </w:pPr>
      <w:hyperlink w:anchor="_Toc116555550" w:history="1">
        <w:r w:rsidR="00F36AEA" w:rsidRPr="004605FD">
          <w:rPr>
            <w:rStyle w:val="Hyperlink"/>
            <w:noProof/>
          </w:rPr>
          <w:t>2.3 Engagement with providers</w:t>
        </w:r>
        <w:r w:rsidR="00F36AEA">
          <w:rPr>
            <w:noProof/>
            <w:webHidden/>
          </w:rPr>
          <w:tab/>
        </w:r>
        <w:r w:rsidR="00F36AEA">
          <w:rPr>
            <w:noProof/>
            <w:webHidden/>
          </w:rPr>
          <w:fldChar w:fldCharType="begin"/>
        </w:r>
        <w:r w:rsidR="00F36AEA">
          <w:rPr>
            <w:noProof/>
            <w:webHidden/>
          </w:rPr>
          <w:instrText xml:space="preserve"> PAGEREF _Toc116555550 \h </w:instrText>
        </w:r>
        <w:r w:rsidR="00F36AEA">
          <w:rPr>
            <w:noProof/>
            <w:webHidden/>
          </w:rPr>
        </w:r>
        <w:r w:rsidR="00F36AEA">
          <w:rPr>
            <w:noProof/>
            <w:webHidden/>
          </w:rPr>
          <w:fldChar w:fldCharType="separate"/>
        </w:r>
        <w:r w:rsidR="00F36AEA">
          <w:rPr>
            <w:noProof/>
            <w:webHidden/>
          </w:rPr>
          <w:t>8</w:t>
        </w:r>
        <w:r w:rsidR="00F36AEA">
          <w:rPr>
            <w:noProof/>
            <w:webHidden/>
          </w:rPr>
          <w:fldChar w:fldCharType="end"/>
        </w:r>
      </w:hyperlink>
    </w:p>
    <w:p w14:paraId="27F4764F" w14:textId="223F7784" w:rsidR="00F36AEA" w:rsidRDefault="00655B21">
      <w:pPr>
        <w:pStyle w:val="TOC2"/>
        <w:rPr>
          <w:rFonts w:asciiTheme="minorHAnsi" w:eastAsiaTheme="minorEastAsia" w:hAnsiTheme="minorHAnsi" w:cstheme="minorBidi"/>
          <w:noProof/>
          <w:color w:val="auto"/>
          <w:sz w:val="22"/>
          <w:szCs w:val="22"/>
        </w:rPr>
      </w:pPr>
      <w:hyperlink w:anchor="_Toc116555551" w:history="1">
        <w:r w:rsidR="00F36AEA" w:rsidRPr="004605FD">
          <w:rPr>
            <w:rStyle w:val="Hyperlink"/>
            <w:noProof/>
          </w:rPr>
          <w:t>2.4 Quality of toolkit submissions</w:t>
        </w:r>
        <w:r w:rsidR="00F36AEA">
          <w:rPr>
            <w:noProof/>
            <w:webHidden/>
          </w:rPr>
          <w:tab/>
        </w:r>
        <w:r w:rsidR="00F36AEA">
          <w:rPr>
            <w:noProof/>
            <w:webHidden/>
          </w:rPr>
          <w:fldChar w:fldCharType="begin"/>
        </w:r>
        <w:r w:rsidR="00F36AEA">
          <w:rPr>
            <w:noProof/>
            <w:webHidden/>
          </w:rPr>
          <w:instrText xml:space="preserve"> PAGEREF _Toc116555551 \h </w:instrText>
        </w:r>
        <w:r w:rsidR="00F36AEA">
          <w:rPr>
            <w:noProof/>
            <w:webHidden/>
          </w:rPr>
        </w:r>
        <w:r w:rsidR="00F36AEA">
          <w:rPr>
            <w:noProof/>
            <w:webHidden/>
          </w:rPr>
          <w:fldChar w:fldCharType="separate"/>
        </w:r>
        <w:r w:rsidR="00F36AEA">
          <w:rPr>
            <w:noProof/>
            <w:webHidden/>
          </w:rPr>
          <w:t>8</w:t>
        </w:r>
        <w:r w:rsidR="00F36AEA">
          <w:rPr>
            <w:noProof/>
            <w:webHidden/>
          </w:rPr>
          <w:fldChar w:fldCharType="end"/>
        </w:r>
      </w:hyperlink>
    </w:p>
    <w:p w14:paraId="686B707D" w14:textId="017D1052" w:rsidR="00F36AEA" w:rsidRDefault="00655B21">
      <w:pPr>
        <w:pStyle w:val="TOC2"/>
        <w:rPr>
          <w:rFonts w:asciiTheme="minorHAnsi" w:eastAsiaTheme="minorEastAsia" w:hAnsiTheme="minorHAnsi" w:cstheme="minorBidi"/>
          <w:noProof/>
          <w:color w:val="auto"/>
          <w:sz w:val="22"/>
          <w:szCs w:val="22"/>
        </w:rPr>
      </w:pPr>
      <w:hyperlink w:anchor="_Toc116555552" w:history="1">
        <w:r w:rsidR="00F36AEA" w:rsidRPr="004605FD">
          <w:rPr>
            <w:rStyle w:val="Hyperlink"/>
            <w:noProof/>
          </w:rPr>
          <w:t>2.5 Validation</w:t>
        </w:r>
        <w:r w:rsidR="00F36AEA">
          <w:rPr>
            <w:noProof/>
            <w:webHidden/>
          </w:rPr>
          <w:tab/>
        </w:r>
        <w:r w:rsidR="00F36AEA">
          <w:rPr>
            <w:noProof/>
            <w:webHidden/>
          </w:rPr>
          <w:fldChar w:fldCharType="begin"/>
        </w:r>
        <w:r w:rsidR="00F36AEA">
          <w:rPr>
            <w:noProof/>
            <w:webHidden/>
          </w:rPr>
          <w:instrText xml:space="preserve"> PAGEREF _Toc116555552 \h </w:instrText>
        </w:r>
        <w:r w:rsidR="00F36AEA">
          <w:rPr>
            <w:noProof/>
            <w:webHidden/>
          </w:rPr>
        </w:r>
        <w:r w:rsidR="00F36AEA">
          <w:rPr>
            <w:noProof/>
            <w:webHidden/>
          </w:rPr>
          <w:fldChar w:fldCharType="separate"/>
        </w:r>
        <w:r w:rsidR="00F36AEA">
          <w:rPr>
            <w:noProof/>
            <w:webHidden/>
          </w:rPr>
          <w:t>9</w:t>
        </w:r>
        <w:r w:rsidR="00F36AEA">
          <w:rPr>
            <w:noProof/>
            <w:webHidden/>
          </w:rPr>
          <w:fldChar w:fldCharType="end"/>
        </w:r>
      </w:hyperlink>
    </w:p>
    <w:p w14:paraId="7CC769A9" w14:textId="4D264AD3" w:rsidR="00F36AEA" w:rsidRDefault="00655B21">
      <w:pPr>
        <w:pStyle w:val="TOC2"/>
        <w:rPr>
          <w:rFonts w:asciiTheme="minorHAnsi" w:eastAsiaTheme="minorEastAsia" w:hAnsiTheme="minorHAnsi" w:cstheme="minorBidi"/>
          <w:noProof/>
          <w:color w:val="auto"/>
          <w:sz w:val="22"/>
          <w:szCs w:val="22"/>
        </w:rPr>
      </w:pPr>
      <w:hyperlink w:anchor="_Toc116555553" w:history="1">
        <w:r w:rsidR="00F36AEA" w:rsidRPr="004605FD">
          <w:rPr>
            <w:rStyle w:val="Hyperlink"/>
            <w:noProof/>
          </w:rPr>
          <w:t>2.6 Incomplete toolkit submissions</w:t>
        </w:r>
        <w:r w:rsidR="00F36AEA">
          <w:rPr>
            <w:noProof/>
            <w:webHidden/>
          </w:rPr>
          <w:tab/>
        </w:r>
        <w:r w:rsidR="00F36AEA">
          <w:rPr>
            <w:noProof/>
            <w:webHidden/>
          </w:rPr>
          <w:fldChar w:fldCharType="begin"/>
        </w:r>
        <w:r w:rsidR="00F36AEA">
          <w:rPr>
            <w:noProof/>
            <w:webHidden/>
          </w:rPr>
          <w:instrText xml:space="preserve"> PAGEREF _Toc116555553 \h </w:instrText>
        </w:r>
        <w:r w:rsidR="00F36AEA">
          <w:rPr>
            <w:noProof/>
            <w:webHidden/>
          </w:rPr>
        </w:r>
        <w:r w:rsidR="00F36AEA">
          <w:rPr>
            <w:noProof/>
            <w:webHidden/>
          </w:rPr>
          <w:fldChar w:fldCharType="separate"/>
        </w:r>
        <w:r w:rsidR="00F36AEA">
          <w:rPr>
            <w:noProof/>
            <w:webHidden/>
          </w:rPr>
          <w:t>9</w:t>
        </w:r>
        <w:r w:rsidR="00F36AEA">
          <w:rPr>
            <w:noProof/>
            <w:webHidden/>
          </w:rPr>
          <w:fldChar w:fldCharType="end"/>
        </w:r>
      </w:hyperlink>
    </w:p>
    <w:p w14:paraId="092D7B13" w14:textId="4B3CE1D0" w:rsidR="00F36AEA" w:rsidRDefault="00655B21">
      <w:pPr>
        <w:pStyle w:val="TOC3"/>
        <w:rPr>
          <w:rFonts w:asciiTheme="minorHAnsi" w:eastAsiaTheme="minorEastAsia" w:hAnsiTheme="minorHAnsi" w:cstheme="minorBidi"/>
          <w:noProof/>
          <w:color w:val="auto"/>
          <w:sz w:val="22"/>
          <w:szCs w:val="22"/>
        </w:rPr>
      </w:pPr>
      <w:hyperlink w:anchor="_Toc116555554" w:history="1">
        <w:r w:rsidR="00F36AEA" w:rsidRPr="004605FD">
          <w:rPr>
            <w:rStyle w:val="Hyperlink"/>
            <w:noProof/>
          </w:rPr>
          <w:t xml:space="preserve">2.6.1 Interpolation </w:t>
        </w:r>
        <w:r w:rsidR="00F36AEA" w:rsidRPr="004605FD">
          <w:rPr>
            <w:rStyle w:val="Hyperlink"/>
            <w:i/>
            <w:iCs/>
            <w:noProof/>
          </w:rPr>
          <w:t>vs</w:t>
        </w:r>
        <w:r w:rsidR="00F36AEA" w:rsidRPr="004605FD">
          <w:rPr>
            <w:rStyle w:val="Hyperlink"/>
            <w:noProof/>
          </w:rPr>
          <w:t xml:space="preserve"> outlier exclusion</w:t>
        </w:r>
        <w:r w:rsidR="00F36AEA">
          <w:rPr>
            <w:noProof/>
            <w:webHidden/>
          </w:rPr>
          <w:tab/>
        </w:r>
        <w:r w:rsidR="00F36AEA">
          <w:rPr>
            <w:noProof/>
            <w:webHidden/>
          </w:rPr>
          <w:fldChar w:fldCharType="begin"/>
        </w:r>
        <w:r w:rsidR="00F36AEA">
          <w:rPr>
            <w:noProof/>
            <w:webHidden/>
          </w:rPr>
          <w:instrText xml:space="preserve"> PAGEREF _Toc116555554 \h </w:instrText>
        </w:r>
        <w:r w:rsidR="00F36AEA">
          <w:rPr>
            <w:noProof/>
            <w:webHidden/>
          </w:rPr>
        </w:r>
        <w:r w:rsidR="00F36AEA">
          <w:rPr>
            <w:noProof/>
            <w:webHidden/>
          </w:rPr>
          <w:fldChar w:fldCharType="separate"/>
        </w:r>
        <w:r w:rsidR="00F36AEA">
          <w:rPr>
            <w:noProof/>
            <w:webHidden/>
          </w:rPr>
          <w:t>9</w:t>
        </w:r>
        <w:r w:rsidR="00F36AEA">
          <w:rPr>
            <w:noProof/>
            <w:webHidden/>
          </w:rPr>
          <w:fldChar w:fldCharType="end"/>
        </w:r>
      </w:hyperlink>
    </w:p>
    <w:p w14:paraId="30D732FD" w14:textId="3453A627" w:rsidR="00F36AEA" w:rsidRDefault="00655B21">
      <w:pPr>
        <w:pStyle w:val="TOC2"/>
        <w:rPr>
          <w:rFonts w:asciiTheme="minorHAnsi" w:eastAsiaTheme="minorEastAsia" w:hAnsiTheme="minorHAnsi" w:cstheme="minorBidi"/>
          <w:noProof/>
          <w:color w:val="auto"/>
          <w:sz w:val="22"/>
          <w:szCs w:val="22"/>
        </w:rPr>
      </w:pPr>
      <w:hyperlink w:anchor="_Toc116555555" w:history="1">
        <w:r w:rsidR="00F36AEA" w:rsidRPr="004605FD">
          <w:rPr>
            <w:rStyle w:val="Hyperlink"/>
            <w:noProof/>
          </w:rPr>
          <w:t>2.7 Response rates</w:t>
        </w:r>
        <w:r w:rsidR="00F36AEA">
          <w:rPr>
            <w:noProof/>
            <w:webHidden/>
          </w:rPr>
          <w:tab/>
        </w:r>
        <w:r w:rsidR="00F36AEA">
          <w:rPr>
            <w:noProof/>
            <w:webHidden/>
          </w:rPr>
          <w:fldChar w:fldCharType="begin"/>
        </w:r>
        <w:r w:rsidR="00F36AEA">
          <w:rPr>
            <w:noProof/>
            <w:webHidden/>
          </w:rPr>
          <w:instrText xml:space="preserve"> PAGEREF _Toc116555555 \h </w:instrText>
        </w:r>
        <w:r w:rsidR="00F36AEA">
          <w:rPr>
            <w:noProof/>
            <w:webHidden/>
          </w:rPr>
        </w:r>
        <w:r w:rsidR="00F36AEA">
          <w:rPr>
            <w:noProof/>
            <w:webHidden/>
          </w:rPr>
          <w:fldChar w:fldCharType="separate"/>
        </w:r>
        <w:r w:rsidR="00F36AEA">
          <w:rPr>
            <w:noProof/>
            <w:webHidden/>
          </w:rPr>
          <w:t>11</w:t>
        </w:r>
        <w:r w:rsidR="00F36AEA">
          <w:rPr>
            <w:noProof/>
            <w:webHidden/>
          </w:rPr>
          <w:fldChar w:fldCharType="end"/>
        </w:r>
      </w:hyperlink>
    </w:p>
    <w:p w14:paraId="4ACBD865" w14:textId="4176F07A" w:rsidR="00F36AEA" w:rsidRDefault="00655B21">
      <w:pPr>
        <w:pStyle w:val="TOC3"/>
        <w:rPr>
          <w:rFonts w:asciiTheme="minorHAnsi" w:eastAsiaTheme="minorEastAsia" w:hAnsiTheme="minorHAnsi" w:cstheme="minorBidi"/>
          <w:noProof/>
          <w:color w:val="auto"/>
          <w:sz w:val="22"/>
          <w:szCs w:val="22"/>
        </w:rPr>
      </w:pPr>
      <w:hyperlink w:anchor="_Toc116555556" w:history="1">
        <w:r w:rsidR="00F36AEA" w:rsidRPr="004605FD">
          <w:rPr>
            <w:rStyle w:val="Hyperlink"/>
            <w:noProof/>
          </w:rPr>
          <w:t>2.7.1 Geographical spread of care homes</w:t>
        </w:r>
        <w:r w:rsidR="00F36AEA">
          <w:rPr>
            <w:noProof/>
            <w:webHidden/>
          </w:rPr>
          <w:tab/>
        </w:r>
        <w:r w:rsidR="00F36AEA">
          <w:rPr>
            <w:noProof/>
            <w:webHidden/>
          </w:rPr>
          <w:fldChar w:fldCharType="begin"/>
        </w:r>
        <w:r w:rsidR="00F36AEA">
          <w:rPr>
            <w:noProof/>
            <w:webHidden/>
          </w:rPr>
          <w:instrText xml:space="preserve"> PAGEREF _Toc116555556 \h </w:instrText>
        </w:r>
        <w:r w:rsidR="00F36AEA">
          <w:rPr>
            <w:noProof/>
            <w:webHidden/>
          </w:rPr>
        </w:r>
        <w:r w:rsidR="00F36AEA">
          <w:rPr>
            <w:noProof/>
            <w:webHidden/>
          </w:rPr>
          <w:fldChar w:fldCharType="separate"/>
        </w:r>
        <w:r w:rsidR="00F36AEA">
          <w:rPr>
            <w:noProof/>
            <w:webHidden/>
          </w:rPr>
          <w:t>13</w:t>
        </w:r>
        <w:r w:rsidR="00F36AEA">
          <w:rPr>
            <w:noProof/>
            <w:webHidden/>
          </w:rPr>
          <w:fldChar w:fldCharType="end"/>
        </w:r>
      </w:hyperlink>
    </w:p>
    <w:p w14:paraId="09397549" w14:textId="341EE568" w:rsidR="00F36AEA" w:rsidRDefault="00655B21">
      <w:pPr>
        <w:pStyle w:val="TOC2"/>
        <w:rPr>
          <w:rFonts w:asciiTheme="minorHAnsi" w:eastAsiaTheme="minorEastAsia" w:hAnsiTheme="minorHAnsi" w:cstheme="minorBidi"/>
          <w:noProof/>
          <w:color w:val="auto"/>
          <w:sz w:val="22"/>
          <w:szCs w:val="22"/>
        </w:rPr>
      </w:pPr>
      <w:hyperlink w:anchor="_Toc116555557" w:history="1">
        <w:r w:rsidR="00F36AEA" w:rsidRPr="004605FD">
          <w:rPr>
            <w:rStyle w:val="Hyperlink"/>
            <w:noProof/>
          </w:rPr>
          <w:t>2.8 Base price year and uplifts</w:t>
        </w:r>
        <w:r w:rsidR="00F36AEA">
          <w:rPr>
            <w:noProof/>
            <w:webHidden/>
          </w:rPr>
          <w:tab/>
        </w:r>
        <w:r w:rsidR="00F36AEA">
          <w:rPr>
            <w:noProof/>
            <w:webHidden/>
          </w:rPr>
          <w:fldChar w:fldCharType="begin"/>
        </w:r>
        <w:r w:rsidR="00F36AEA">
          <w:rPr>
            <w:noProof/>
            <w:webHidden/>
          </w:rPr>
          <w:instrText xml:space="preserve"> PAGEREF _Toc116555557 \h </w:instrText>
        </w:r>
        <w:r w:rsidR="00F36AEA">
          <w:rPr>
            <w:noProof/>
            <w:webHidden/>
          </w:rPr>
        </w:r>
        <w:r w:rsidR="00F36AEA">
          <w:rPr>
            <w:noProof/>
            <w:webHidden/>
          </w:rPr>
          <w:fldChar w:fldCharType="separate"/>
        </w:r>
        <w:r w:rsidR="00F36AEA">
          <w:rPr>
            <w:noProof/>
            <w:webHidden/>
          </w:rPr>
          <w:t>14</w:t>
        </w:r>
        <w:r w:rsidR="00F36AEA">
          <w:rPr>
            <w:noProof/>
            <w:webHidden/>
          </w:rPr>
          <w:fldChar w:fldCharType="end"/>
        </w:r>
      </w:hyperlink>
    </w:p>
    <w:p w14:paraId="7C5515C8" w14:textId="097CEF9E" w:rsidR="00F36AEA" w:rsidRDefault="00655B21">
      <w:pPr>
        <w:pStyle w:val="TOC2"/>
        <w:rPr>
          <w:rFonts w:asciiTheme="minorHAnsi" w:eastAsiaTheme="minorEastAsia" w:hAnsiTheme="minorHAnsi" w:cstheme="minorBidi"/>
          <w:noProof/>
          <w:color w:val="auto"/>
          <w:sz w:val="22"/>
          <w:szCs w:val="22"/>
        </w:rPr>
      </w:pPr>
      <w:hyperlink w:anchor="_Toc116555558" w:history="1">
        <w:r w:rsidR="00F36AEA" w:rsidRPr="004605FD">
          <w:rPr>
            <w:rStyle w:val="Hyperlink"/>
            <w:noProof/>
          </w:rPr>
          <w:t>2.9 Return on capital and return on operations</w:t>
        </w:r>
        <w:r w:rsidR="00F36AEA">
          <w:rPr>
            <w:noProof/>
            <w:webHidden/>
          </w:rPr>
          <w:tab/>
        </w:r>
        <w:r w:rsidR="00F36AEA">
          <w:rPr>
            <w:noProof/>
            <w:webHidden/>
          </w:rPr>
          <w:fldChar w:fldCharType="begin"/>
        </w:r>
        <w:r w:rsidR="00F36AEA">
          <w:rPr>
            <w:noProof/>
            <w:webHidden/>
          </w:rPr>
          <w:instrText xml:space="preserve"> PAGEREF _Toc116555558 \h </w:instrText>
        </w:r>
        <w:r w:rsidR="00F36AEA">
          <w:rPr>
            <w:noProof/>
            <w:webHidden/>
          </w:rPr>
        </w:r>
        <w:r w:rsidR="00F36AEA">
          <w:rPr>
            <w:noProof/>
            <w:webHidden/>
          </w:rPr>
          <w:fldChar w:fldCharType="separate"/>
        </w:r>
        <w:r w:rsidR="00F36AEA">
          <w:rPr>
            <w:noProof/>
            <w:webHidden/>
          </w:rPr>
          <w:t>16</w:t>
        </w:r>
        <w:r w:rsidR="00F36AEA">
          <w:rPr>
            <w:noProof/>
            <w:webHidden/>
          </w:rPr>
          <w:fldChar w:fldCharType="end"/>
        </w:r>
      </w:hyperlink>
    </w:p>
    <w:p w14:paraId="6731968F" w14:textId="4EFA8FE3" w:rsidR="00F36AEA" w:rsidRDefault="00655B21">
      <w:pPr>
        <w:pStyle w:val="TOC2"/>
        <w:rPr>
          <w:rFonts w:asciiTheme="minorHAnsi" w:eastAsiaTheme="minorEastAsia" w:hAnsiTheme="minorHAnsi" w:cstheme="minorBidi"/>
          <w:noProof/>
          <w:color w:val="auto"/>
          <w:sz w:val="22"/>
          <w:szCs w:val="22"/>
        </w:rPr>
      </w:pPr>
      <w:hyperlink w:anchor="_Toc116555559" w:history="1">
        <w:r w:rsidR="00F36AEA" w:rsidRPr="004605FD">
          <w:rPr>
            <w:rStyle w:val="Hyperlink"/>
            <w:noProof/>
          </w:rPr>
          <w:t>2.10 Analysis and results</w:t>
        </w:r>
        <w:r w:rsidR="00F36AEA">
          <w:rPr>
            <w:noProof/>
            <w:webHidden/>
          </w:rPr>
          <w:tab/>
        </w:r>
        <w:r w:rsidR="00F36AEA">
          <w:rPr>
            <w:noProof/>
            <w:webHidden/>
          </w:rPr>
          <w:fldChar w:fldCharType="begin"/>
        </w:r>
        <w:r w:rsidR="00F36AEA">
          <w:rPr>
            <w:noProof/>
            <w:webHidden/>
          </w:rPr>
          <w:instrText xml:space="preserve"> PAGEREF _Toc116555559 \h </w:instrText>
        </w:r>
        <w:r w:rsidR="00F36AEA">
          <w:rPr>
            <w:noProof/>
            <w:webHidden/>
          </w:rPr>
        </w:r>
        <w:r w:rsidR="00F36AEA">
          <w:rPr>
            <w:noProof/>
            <w:webHidden/>
          </w:rPr>
          <w:fldChar w:fldCharType="separate"/>
        </w:r>
        <w:r w:rsidR="00F36AEA">
          <w:rPr>
            <w:noProof/>
            <w:webHidden/>
          </w:rPr>
          <w:t>16</w:t>
        </w:r>
        <w:r w:rsidR="00F36AEA">
          <w:rPr>
            <w:noProof/>
            <w:webHidden/>
          </w:rPr>
          <w:fldChar w:fldCharType="end"/>
        </w:r>
      </w:hyperlink>
    </w:p>
    <w:p w14:paraId="7469E45B" w14:textId="1239C76A" w:rsidR="00F36AEA" w:rsidRDefault="00655B21">
      <w:pPr>
        <w:pStyle w:val="TOC2"/>
        <w:rPr>
          <w:rFonts w:asciiTheme="minorHAnsi" w:eastAsiaTheme="minorEastAsia" w:hAnsiTheme="minorHAnsi" w:cstheme="minorBidi"/>
          <w:noProof/>
          <w:color w:val="auto"/>
          <w:sz w:val="22"/>
          <w:szCs w:val="22"/>
        </w:rPr>
      </w:pPr>
      <w:hyperlink w:anchor="_Toc116555560" w:history="1">
        <w:r w:rsidR="00F36AEA" w:rsidRPr="004605FD">
          <w:rPr>
            <w:rStyle w:val="Hyperlink"/>
            <w:noProof/>
          </w:rPr>
          <w:t>2.11 Sensitivity analysis</w:t>
        </w:r>
        <w:r w:rsidR="00F36AEA">
          <w:rPr>
            <w:noProof/>
            <w:webHidden/>
          </w:rPr>
          <w:tab/>
        </w:r>
        <w:r w:rsidR="00F36AEA">
          <w:rPr>
            <w:noProof/>
            <w:webHidden/>
          </w:rPr>
          <w:fldChar w:fldCharType="begin"/>
        </w:r>
        <w:r w:rsidR="00F36AEA">
          <w:rPr>
            <w:noProof/>
            <w:webHidden/>
          </w:rPr>
          <w:instrText xml:space="preserve"> PAGEREF _Toc116555560 \h </w:instrText>
        </w:r>
        <w:r w:rsidR="00F36AEA">
          <w:rPr>
            <w:noProof/>
            <w:webHidden/>
          </w:rPr>
        </w:r>
        <w:r w:rsidR="00F36AEA">
          <w:rPr>
            <w:noProof/>
            <w:webHidden/>
          </w:rPr>
          <w:fldChar w:fldCharType="separate"/>
        </w:r>
        <w:r w:rsidR="00F36AEA">
          <w:rPr>
            <w:noProof/>
            <w:webHidden/>
          </w:rPr>
          <w:t>23</w:t>
        </w:r>
        <w:r w:rsidR="00F36AEA">
          <w:rPr>
            <w:noProof/>
            <w:webHidden/>
          </w:rPr>
          <w:fldChar w:fldCharType="end"/>
        </w:r>
      </w:hyperlink>
    </w:p>
    <w:p w14:paraId="1D6A734B" w14:textId="747CCE1C" w:rsidR="00F36AEA" w:rsidRDefault="00655B21">
      <w:pPr>
        <w:pStyle w:val="TOC3"/>
        <w:rPr>
          <w:rFonts w:asciiTheme="minorHAnsi" w:eastAsiaTheme="minorEastAsia" w:hAnsiTheme="minorHAnsi" w:cstheme="minorBidi"/>
          <w:noProof/>
          <w:color w:val="auto"/>
          <w:sz w:val="22"/>
          <w:szCs w:val="22"/>
        </w:rPr>
      </w:pPr>
      <w:hyperlink w:anchor="_Toc116555561" w:history="1">
        <w:r w:rsidR="00F36AEA" w:rsidRPr="004605FD">
          <w:rPr>
            <w:rStyle w:val="Hyperlink"/>
            <w:noProof/>
          </w:rPr>
          <w:t>2.11.1 Sensitivity to capital cost per occupied bed</w:t>
        </w:r>
        <w:r w:rsidR="00F36AEA">
          <w:rPr>
            <w:noProof/>
            <w:webHidden/>
          </w:rPr>
          <w:tab/>
        </w:r>
        <w:r w:rsidR="00F36AEA">
          <w:rPr>
            <w:noProof/>
            <w:webHidden/>
          </w:rPr>
          <w:fldChar w:fldCharType="begin"/>
        </w:r>
        <w:r w:rsidR="00F36AEA">
          <w:rPr>
            <w:noProof/>
            <w:webHidden/>
          </w:rPr>
          <w:instrText xml:space="preserve"> PAGEREF _Toc116555561 \h </w:instrText>
        </w:r>
        <w:r w:rsidR="00F36AEA">
          <w:rPr>
            <w:noProof/>
            <w:webHidden/>
          </w:rPr>
        </w:r>
        <w:r w:rsidR="00F36AEA">
          <w:rPr>
            <w:noProof/>
            <w:webHidden/>
          </w:rPr>
          <w:fldChar w:fldCharType="separate"/>
        </w:r>
        <w:r w:rsidR="00F36AEA">
          <w:rPr>
            <w:noProof/>
            <w:webHidden/>
          </w:rPr>
          <w:t>23</w:t>
        </w:r>
        <w:r w:rsidR="00F36AEA">
          <w:rPr>
            <w:noProof/>
            <w:webHidden/>
          </w:rPr>
          <w:fldChar w:fldCharType="end"/>
        </w:r>
      </w:hyperlink>
    </w:p>
    <w:p w14:paraId="17D5BE05" w14:textId="1765598B" w:rsidR="00F36AEA" w:rsidRDefault="00655B21">
      <w:pPr>
        <w:pStyle w:val="TOC3"/>
        <w:rPr>
          <w:rFonts w:asciiTheme="minorHAnsi" w:eastAsiaTheme="minorEastAsia" w:hAnsiTheme="minorHAnsi" w:cstheme="minorBidi"/>
          <w:noProof/>
          <w:color w:val="auto"/>
          <w:sz w:val="22"/>
          <w:szCs w:val="22"/>
        </w:rPr>
      </w:pPr>
      <w:hyperlink w:anchor="_Toc116555562" w:history="1">
        <w:r w:rsidR="00F36AEA" w:rsidRPr="004605FD">
          <w:rPr>
            <w:rStyle w:val="Hyperlink"/>
            <w:noProof/>
          </w:rPr>
          <w:t>2.11.2 Sensitivity to occupancy rates</w:t>
        </w:r>
        <w:r w:rsidR="00F36AEA">
          <w:rPr>
            <w:noProof/>
            <w:webHidden/>
          </w:rPr>
          <w:tab/>
        </w:r>
        <w:r w:rsidR="00F36AEA">
          <w:rPr>
            <w:noProof/>
            <w:webHidden/>
          </w:rPr>
          <w:fldChar w:fldCharType="begin"/>
        </w:r>
        <w:r w:rsidR="00F36AEA">
          <w:rPr>
            <w:noProof/>
            <w:webHidden/>
          </w:rPr>
          <w:instrText xml:space="preserve"> PAGEREF _Toc116555562 \h </w:instrText>
        </w:r>
        <w:r w:rsidR="00F36AEA">
          <w:rPr>
            <w:noProof/>
            <w:webHidden/>
          </w:rPr>
        </w:r>
        <w:r w:rsidR="00F36AEA">
          <w:rPr>
            <w:noProof/>
            <w:webHidden/>
          </w:rPr>
          <w:fldChar w:fldCharType="separate"/>
        </w:r>
        <w:r w:rsidR="00F36AEA">
          <w:rPr>
            <w:noProof/>
            <w:webHidden/>
          </w:rPr>
          <w:t>24</w:t>
        </w:r>
        <w:r w:rsidR="00F36AEA">
          <w:rPr>
            <w:noProof/>
            <w:webHidden/>
          </w:rPr>
          <w:fldChar w:fldCharType="end"/>
        </w:r>
      </w:hyperlink>
    </w:p>
    <w:p w14:paraId="7DE77B03" w14:textId="04030D5F" w:rsidR="00F36AEA" w:rsidRDefault="00655B21">
      <w:pPr>
        <w:pStyle w:val="TOC2"/>
        <w:rPr>
          <w:rFonts w:asciiTheme="minorHAnsi" w:eastAsiaTheme="minorEastAsia" w:hAnsiTheme="minorHAnsi" w:cstheme="minorBidi"/>
          <w:noProof/>
          <w:color w:val="auto"/>
          <w:sz w:val="22"/>
          <w:szCs w:val="22"/>
        </w:rPr>
      </w:pPr>
      <w:hyperlink w:anchor="_Toc116555563" w:history="1">
        <w:r w:rsidR="00F36AEA" w:rsidRPr="004605FD">
          <w:rPr>
            <w:rStyle w:val="Hyperlink"/>
            <w:noProof/>
          </w:rPr>
          <w:t>2.12 Confidence intervals</w:t>
        </w:r>
        <w:r w:rsidR="00F36AEA">
          <w:rPr>
            <w:noProof/>
            <w:webHidden/>
          </w:rPr>
          <w:tab/>
        </w:r>
        <w:r w:rsidR="00F36AEA">
          <w:rPr>
            <w:noProof/>
            <w:webHidden/>
          </w:rPr>
          <w:fldChar w:fldCharType="begin"/>
        </w:r>
        <w:r w:rsidR="00F36AEA">
          <w:rPr>
            <w:noProof/>
            <w:webHidden/>
          </w:rPr>
          <w:instrText xml:space="preserve"> PAGEREF _Toc116555563 \h </w:instrText>
        </w:r>
        <w:r w:rsidR="00F36AEA">
          <w:rPr>
            <w:noProof/>
            <w:webHidden/>
          </w:rPr>
        </w:r>
        <w:r w:rsidR="00F36AEA">
          <w:rPr>
            <w:noProof/>
            <w:webHidden/>
          </w:rPr>
          <w:fldChar w:fldCharType="separate"/>
        </w:r>
        <w:r w:rsidR="00F36AEA">
          <w:rPr>
            <w:noProof/>
            <w:webHidden/>
          </w:rPr>
          <w:t>26</w:t>
        </w:r>
        <w:r w:rsidR="00F36AEA">
          <w:rPr>
            <w:noProof/>
            <w:webHidden/>
          </w:rPr>
          <w:fldChar w:fldCharType="end"/>
        </w:r>
      </w:hyperlink>
    </w:p>
    <w:p w14:paraId="346720F2" w14:textId="4D66CB33" w:rsidR="00F36AEA" w:rsidRDefault="00655B21">
      <w:pPr>
        <w:pStyle w:val="TOC2"/>
        <w:rPr>
          <w:rFonts w:asciiTheme="minorHAnsi" w:eastAsiaTheme="minorEastAsia" w:hAnsiTheme="minorHAnsi" w:cstheme="minorBidi"/>
          <w:noProof/>
          <w:color w:val="auto"/>
          <w:sz w:val="22"/>
          <w:szCs w:val="22"/>
        </w:rPr>
      </w:pPr>
      <w:hyperlink w:anchor="_Toc116555564" w:history="1">
        <w:r w:rsidR="00F36AEA" w:rsidRPr="004605FD">
          <w:rPr>
            <w:rStyle w:val="Hyperlink"/>
            <w:noProof/>
          </w:rPr>
          <w:t>2.13 Special local factors</w:t>
        </w:r>
        <w:r w:rsidR="00F36AEA">
          <w:rPr>
            <w:noProof/>
            <w:webHidden/>
          </w:rPr>
          <w:tab/>
        </w:r>
        <w:r w:rsidR="00F36AEA">
          <w:rPr>
            <w:noProof/>
            <w:webHidden/>
          </w:rPr>
          <w:fldChar w:fldCharType="begin"/>
        </w:r>
        <w:r w:rsidR="00F36AEA">
          <w:rPr>
            <w:noProof/>
            <w:webHidden/>
          </w:rPr>
          <w:instrText xml:space="preserve"> PAGEREF _Toc116555564 \h </w:instrText>
        </w:r>
        <w:r w:rsidR="00F36AEA">
          <w:rPr>
            <w:noProof/>
            <w:webHidden/>
          </w:rPr>
        </w:r>
        <w:r w:rsidR="00F36AEA">
          <w:rPr>
            <w:noProof/>
            <w:webHidden/>
          </w:rPr>
          <w:fldChar w:fldCharType="separate"/>
        </w:r>
        <w:r w:rsidR="00F36AEA">
          <w:rPr>
            <w:noProof/>
            <w:webHidden/>
          </w:rPr>
          <w:t>27</w:t>
        </w:r>
        <w:r w:rsidR="00F36AEA">
          <w:rPr>
            <w:noProof/>
            <w:webHidden/>
          </w:rPr>
          <w:fldChar w:fldCharType="end"/>
        </w:r>
      </w:hyperlink>
    </w:p>
    <w:p w14:paraId="7367AB51" w14:textId="5B1EDDE7" w:rsidR="00F36AEA" w:rsidRDefault="00655B21">
      <w:pPr>
        <w:pStyle w:val="TOC2"/>
        <w:rPr>
          <w:rFonts w:asciiTheme="minorHAnsi" w:eastAsiaTheme="minorEastAsia" w:hAnsiTheme="minorHAnsi" w:cstheme="minorBidi"/>
          <w:noProof/>
          <w:color w:val="auto"/>
          <w:sz w:val="22"/>
          <w:szCs w:val="22"/>
        </w:rPr>
      </w:pPr>
      <w:hyperlink w:anchor="_Toc116555565" w:history="1">
        <w:r w:rsidR="00F36AEA" w:rsidRPr="004605FD">
          <w:rPr>
            <w:rStyle w:val="Hyperlink"/>
            <w:noProof/>
          </w:rPr>
          <w:t>2.14 Conclusions</w:t>
        </w:r>
        <w:r w:rsidR="00F36AEA">
          <w:rPr>
            <w:noProof/>
            <w:webHidden/>
          </w:rPr>
          <w:tab/>
        </w:r>
        <w:r w:rsidR="00F36AEA">
          <w:rPr>
            <w:noProof/>
            <w:webHidden/>
          </w:rPr>
          <w:fldChar w:fldCharType="begin"/>
        </w:r>
        <w:r w:rsidR="00F36AEA">
          <w:rPr>
            <w:noProof/>
            <w:webHidden/>
          </w:rPr>
          <w:instrText xml:space="preserve"> PAGEREF _Toc116555565 \h </w:instrText>
        </w:r>
        <w:r w:rsidR="00F36AEA">
          <w:rPr>
            <w:noProof/>
            <w:webHidden/>
          </w:rPr>
        </w:r>
        <w:r w:rsidR="00F36AEA">
          <w:rPr>
            <w:noProof/>
            <w:webHidden/>
          </w:rPr>
          <w:fldChar w:fldCharType="separate"/>
        </w:r>
        <w:r w:rsidR="00F36AEA">
          <w:rPr>
            <w:noProof/>
            <w:webHidden/>
          </w:rPr>
          <w:t>27</w:t>
        </w:r>
        <w:r w:rsidR="00F36AEA">
          <w:rPr>
            <w:noProof/>
            <w:webHidden/>
          </w:rPr>
          <w:fldChar w:fldCharType="end"/>
        </w:r>
      </w:hyperlink>
    </w:p>
    <w:p w14:paraId="6B244699" w14:textId="5CDC8FB1" w:rsidR="00F36AEA" w:rsidRDefault="00655B21">
      <w:pPr>
        <w:pStyle w:val="TOC3"/>
        <w:rPr>
          <w:rFonts w:asciiTheme="minorHAnsi" w:eastAsiaTheme="minorEastAsia" w:hAnsiTheme="minorHAnsi" w:cstheme="minorBidi"/>
          <w:noProof/>
          <w:color w:val="auto"/>
          <w:sz w:val="22"/>
          <w:szCs w:val="22"/>
        </w:rPr>
      </w:pPr>
      <w:hyperlink w:anchor="_Toc116555566" w:history="1">
        <w:r w:rsidR="00F36AEA" w:rsidRPr="004605FD">
          <w:rPr>
            <w:rStyle w:val="Hyperlink"/>
            <w:noProof/>
          </w:rPr>
          <w:t>2.14.1 Residential care</w:t>
        </w:r>
        <w:r w:rsidR="00F36AEA">
          <w:rPr>
            <w:noProof/>
            <w:webHidden/>
          </w:rPr>
          <w:tab/>
        </w:r>
        <w:r w:rsidR="00F36AEA">
          <w:rPr>
            <w:noProof/>
            <w:webHidden/>
          </w:rPr>
          <w:fldChar w:fldCharType="begin"/>
        </w:r>
        <w:r w:rsidR="00F36AEA">
          <w:rPr>
            <w:noProof/>
            <w:webHidden/>
          </w:rPr>
          <w:instrText xml:space="preserve"> PAGEREF _Toc116555566 \h </w:instrText>
        </w:r>
        <w:r w:rsidR="00F36AEA">
          <w:rPr>
            <w:noProof/>
            <w:webHidden/>
          </w:rPr>
        </w:r>
        <w:r w:rsidR="00F36AEA">
          <w:rPr>
            <w:noProof/>
            <w:webHidden/>
          </w:rPr>
          <w:fldChar w:fldCharType="separate"/>
        </w:r>
        <w:r w:rsidR="00F36AEA">
          <w:rPr>
            <w:noProof/>
            <w:webHidden/>
          </w:rPr>
          <w:t>28</w:t>
        </w:r>
        <w:r w:rsidR="00F36AEA">
          <w:rPr>
            <w:noProof/>
            <w:webHidden/>
          </w:rPr>
          <w:fldChar w:fldCharType="end"/>
        </w:r>
      </w:hyperlink>
    </w:p>
    <w:p w14:paraId="69B5454E" w14:textId="14E925B1" w:rsidR="00F36AEA" w:rsidRDefault="00655B21">
      <w:pPr>
        <w:pStyle w:val="TOC3"/>
        <w:rPr>
          <w:rFonts w:asciiTheme="minorHAnsi" w:eastAsiaTheme="minorEastAsia" w:hAnsiTheme="minorHAnsi" w:cstheme="minorBidi"/>
          <w:noProof/>
          <w:color w:val="auto"/>
          <w:sz w:val="22"/>
          <w:szCs w:val="22"/>
        </w:rPr>
      </w:pPr>
      <w:hyperlink w:anchor="_Toc116555567" w:history="1">
        <w:r w:rsidR="00F36AEA" w:rsidRPr="004605FD">
          <w:rPr>
            <w:rStyle w:val="Hyperlink"/>
            <w:noProof/>
          </w:rPr>
          <w:t>2.14.2 Nursing care</w:t>
        </w:r>
        <w:r w:rsidR="00F36AEA">
          <w:rPr>
            <w:noProof/>
            <w:webHidden/>
          </w:rPr>
          <w:tab/>
        </w:r>
        <w:r w:rsidR="00F36AEA">
          <w:rPr>
            <w:noProof/>
            <w:webHidden/>
          </w:rPr>
          <w:fldChar w:fldCharType="begin"/>
        </w:r>
        <w:r w:rsidR="00F36AEA">
          <w:rPr>
            <w:noProof/>
            <w:webHidden/>
          </w:rPr>
          <w:instrText xml:space="preserve"> PAGEREF _Toc116555567 \h </w:instrText>
        </w:r>
        <w:r w:rsidR="00F36AEA">
          <w:rPr>
            <w:noProof/>
            <w:webHidden/>
          </w:rPr>
        </w:r>
        <w:r w:rsidR="00F36AEA">
          <w:rPr>
            <w:noProof/>
            <w:webHidden/>
          </w:rPr>
          <w:fldChar w:fldCharType="separate"/>
        </w:r>
        <w:r w:rsidR="00F36AEA">
          <w:rPr>
            <w:noProof/>
            <w:webHidden/>
          </w:rPr>
          <w:t>28</w:t>
        </w:r>
        <w:r w:rsidR="00F36AEA">
          <w:rPr>
            <w:noProof/>
            <w:webHidden/>
          </w:rPr>
          <w:fldChar w:fldCharType="end"/>
        </w:r>
      </w:hyperlink>
    </w:p>
    <w:p w14:paraId="6A30A690" w14:textId="3084A85E" w:rsidR="00F36AEA" w:rsidRDefault="00655B21">
      <w:pPr>
        <w:pStyle w:val="TOC3"/>
        <w:rPr>
          <w:rFonts w:asciiTheme="minorHAnsi" w:eastAsiaTheme="minorEastAsia" w:hAnsiTheme="minorHAnsi" w:cstheme="minorBidi"/>
          <w:noProof/>
          <w:color w:val="auto"/>
          <w:sz w:val="22"/>
          <w:szCs w:val="22"/>
        </w:rPr>
      </w:pPr>
      <w:hyperlink w:anchor="_Toc116555568" w:history="1">
        <w:r w:rsidR="00F36AEA" w:rsidRPr="004605FD">
          <w:rPr>
            <w:rStyle w:val="Hyperlink"/>
            <w:noProof/>
          </w:rPr>
          <w:t>2.14.3 Segmentation into standard and enhanced care</w:t>
        </w:r>
        <w:r w:rsidR="00F36AEA">
          <w:rPr>
            <w:noProof/>
            <w:webHidden/>
          </w:rPr>
          <w:tab/>
        </w:r>
        <w:r w:rsidR="00F36AEA">
          <w:rPr>
            <w:noProof/>
            <w:webHidden/>
          </w:rPr>
          <w:fldChar w:fldCharType="begin"/>
        </w:r>
        <w:r w:rsidR="00F36AEA">
          <w:rPr>
            <w:noProof/>
            <w:webHidden/>
          </w:rPr>
          <w:instrText xml:space="preserve"> PAGEREF _Toc116555568 \h </w:instrText>
        </w:r>
        <w:r w:rsidR="00F36AEA">
          <w:rPr>
            <w:noProof/>
            <w:webHidden/>
          </w:rPr>
        </w:r>
        <w:r w:rsidR="00F36AEA">
          <w:rPr>
            <w:noProof/>
            <w:webHidden/>
          </w:rPr>
          <w:fldChar w:fldCharType="separate"/>
        </w:r>
        <w:r w:rsidR="00F36AEA">
          <w:rPr>
            <w:noProof/>
            <w:webHidden/>
          </w:rPr>
          <w:t>29</w:t>
        </w:r>
        <w:r w:rsidR="00F36AEA">
          <w:rPr>
            <w:noProof/>
            <w:webHidden/>
          </w:rPr>
          <w:fldChar w:fldCharType="end"/>
        </w:r>
      </w:hyperlink>
    </w:p>
    <w:p w14:paraId="6772CB5C" w14:textId="6248CBC7" w:rsidR="00F36AEA" w:rsidRDefault="00655B21">
      <w:pPr>
        <w:pStyle w:val="TOC1"/>
        <w:rPr>
          <w:rFonts w:asciiTheme="minorHAnsi" w:eastAsiaTheme="minorEastAsia" w:hAnsiTheme="minorHAnsi" w:cstheme="minorBidi"/>
          <w:noProof/>
          <w:color w:val="auto"/>
          <w:sz w:val="22"/>
          <w:szCs w:val="22"/>
        </w:rPr>
      </w:pPr>
      <w:hyperlink w:anchor="_Toc116555569" w:history="1">
        <w:r w:rsidR="00F36AEA" w:rsidRPr="004605FD">
          <w:rPr>
            <w:rStyle w:val="Hyperlink"/>
            <w:noProof/>
          </w:rPr>
          <w:t>APPENDIX 1 EVIDENCE BASE FOR RETURN ON CAPITAL AND OPERATING PROFIT PARAMETERS</w:t>
        </w:r>
        <w:r w:rsidR="00F36AEA">
          <w:rPr>
            <w:noProof/>
            <w:webHidden/>
          </w:rPr>
          <w:tab/>
        </w:r>
        <w:r w:rsidR="00F36AEA">
          <w:rPr>
            <w:noProof/>
            <w:webHidden/>
          </w:rPr>
          <w:fldChar w:fldCharType="begin"/>
        </w:r>
        <w:r w:rsidR="00F36AEA">
          <w:rPr>
            <w:noProof/>
            <w:webHidden/>
          </w:rPr>
          <w:instrText xml:space="preserve"> PAGEREF _Toc116555569 \h </w:instrText>
        </w:r>
        <w:r w:rsidR="00F36AEA">
          <w:rPr>
            <w:noProof/>
            <w:webHidden/>
          </w:rPr>
        </w:r>
        <w:r w:rsidR="00F36AEA">
          <w:rPr>
            <w:noProof/>
            <w:webHidden/>
          </w:rPr>
          <w:fldChar w:fldCharType="separate"/>
        </w:r>
        <w:r w:rsidR="00F36AEA">
          <w:rPr>
            <w:noProof/>
            <w:webHidden/>
          </w:rPr>
          <w:t>30</w:t>
        </w:r>
        <w:r w:rsidR="00F36AEA">
          <w:rPr>
            <w:noProof/>
            <w:webHidden/>
          </w:rPr>
          <w:fldChar w:fldCharType="end"/>
        </w:r>
      </w:hyperlink>
    </w:p>
    <w:p w14:paraId="39F07B96" w14:textId="3C3953DD" w:rsidR="00F36AEA" w:rsidRDefault="00655B21">
      <w:pPr>
        <w:pStyle w:val="TOC2"/>
        <w:rPr>
          <w:rFonts w:asciiTheme="minorHAnsi" w:eastAsiaTheme="minorEastAsia" w:hAnsiTheme="minorHAnsi" w:cstheme="minorBidi"/>
          <w:noProof/>
          <w:color w:val="auto"/>
          <w:sz w:val="22"/>
          <w:szCs w:val="22"/>
        </w:rPr>
      </w:pPr>
      <w:hyperlink w:anchor="_Toc116555570" w:history="1">
        <w:r w:rsidR="00F36AEA" w:rsidRPr="004605FD">
          <w:rPr>
            <w:rStyle w:val="Hyperlink"/>
            <w:noProof/>
          </w:rPr>
          <w:t>A1.1 Introduction</w:t>
        </w:r>
        <w:r w:rsidR="00F36AEA">
          <w:rPr>
            <w:noProof/>
            <w:webHidden/>
          </w:rPr>
          <w:tab/>
        </w:r>
        <w:r w:rsidR="00F36AEA">
          <w:rPr>
            <w:noProof/>
            <w:webHidden/>
          </w:rPr>
          <w:fldChar w:fldCharType="begin"/>
        </w:r>
        <w:r w:rsidR="00F36AEA">
          <w:rPr>
            <w:noProof/>
            <w:webHidden/>
          </w:rPr>
          <w:instrText xml:space="preserve"> PAGEREF _Toc116555570 \h </w:instrText>
        </w:r>
        <w:r w:rsidR="00F36AEA">
          <w:rPr>
            <w:noProof/>
            <w:webHidden/>
          </w:rPr>
        </w:r>
        <w:r w:rsidR="00F36AEA">
          <w:rPr>
            <w:noProof/>
            <w:webHidden/>
          </w:rPr>
          <w:fldChar w:fldCharType="separate"/>
        </w:r>
        <w:r w:rsidR="00F36AEA">
          <w:rPr>
            <w:noProof/>
            <w:webHidden/>
          </w:rPr>
          <w:t>30</w:t>
        </w:r>
        <w:r w:rsidR="00F36AEA">
          <w:rPr>
            <w:noProof/>
            <w:webHidden/>
          </w:rPr>
          <w:fldChar w:fldCharType="end"/>
        </w:r>
      </w:hyperlink>
    </w:p>
    <w:p w14:paraId="59C20A4C" w14:textId="1DF03B4A" w:rsidR="00F36AEA" w:rsidRDefault="00655B21">
      <w:pPr>
        <w:pStyle w:val="TOC3"/>
        <w:rPr>
          <w:rFonts w:asciiTheme="minorHAnsi" w:eastAsiaTheme="minorEastAsia" w:hAnsiTheme="minorHAnsi" w:cstheme="minorBidi"/>
          <w:noProof/>
          <w:color w:val="auto"/>
          <w:sz w:val="22"/>
          <w:szCs w:val="22"/>
        </w:rPr>
      </w:pPr>
      <w:hyperlink w:anchor="_Toc116555571" w:history="1">
        <w:r w:rsidR="00F36AEA" w:rsidRPr="004605FD">
          <w:rPr>
            <w:rStyle w:val="Hyperlink"/>
            <w:rFonts w:cs="Arial"/>
            <w:b/>
            <w:bCs/>
            <w:noProof/>
          </w:rPr>
          <w:t>Box 1 Return on Capital (care homes only)</w:t>
        </w:r>
        <w:r w:rsidR="00F36AEA">
          <w:rPr>
            <w:noProof/>
            <w:webHidden/>
          </w:rPr>
          <w:tab/>
        </w:r>
        <w:r w:rsidR="00F36AEA">
          <w:rPr>
            <w:noProof/>
            <w:webHidden/>
          </w:rPr>
          <w:fldChar w:fldCharType="begin"/>
        </w:r>
        <w:r w:rsidR="00F36AEA">
          <w:rPr>
            <w:noProof/>
            <w:webHidden/>
          </w:rPr>
          <w:instrText xml:space="preserve"> PAGEREF _Toc116555571 \h </w:instrText>
        </w:r>
        <w:r w:rsidR="00F36AEA">
          <w:rPr>
            <w:noProof/>
            <w:webHidden/>
          </w:rPr>
        </w:r>
        <w:r w:rsidR="00F36AEA">
          <w:rPr>
            <w:noProof/>
            <w:webHidden/>
          </w:rPr>
          <w:fldChar w:fldCharType="separate"/>
        </w:r>
        <w:r w:rsidR="00F36AEA">
          <w:rPr>
            <w:noProof/>
            <w:webHidden/>
          </w:rPr>
          <w:t>30</w:t>
        </w:r>
        <w:r w:rsidR="00F36AEA">
          <w:rPr>
            <w:noProof/>
            <w:webHidden/>
          </w:rPr>
          <w:fldChar w:fldCharType="end"/>
        </w:r>
      </w:hyperlink>
    </w:p>
    <w:p w14:paraId="0411F987" w14:textId="53DFFB6B" w:rsidR="00F36AEA" w:rsidRDefault="00655B21">
      <w:pPr>
        <w:pStyle w:val="TOC3"/>
        <w:rPr>
          <w:rFonts w:asciiTheme="minorHAnsi" w:eastAsiaTheme="minorEastAsia" w:hAnsiTheme="minorHAnsi" w:cstheme="minorBidi"/>
          <w:noProof/>
          <w:color w:val="auto"/>
          <w:sz w:val="22"/>
          <w:szCs w:val="22"/>
        </w:rPr>
      </w:pPr>
      <w:hyperlink w:anchor="_Toc116555572" w:history="1">
        <w:r w:rsidR="00F36AEA" w:rsidRPr="004605FD">
          <w:rPr>
            <w:rStyle w:val="Hyperlink"/>
            <w:rFonts w:cs="Arial"/>
            <w:b/>
            <w:bCs/>
            <w:noProof/>
          </w:rPr>
          <w:t>Box 2 Return on Operations (care homes and domiciliary care)</w:t>
        </w:r>
        <w:r w:rsidR="00F36AEA">
          <w:rPr>
            <w:noProof/>
            <w:webHidden/>
          </w:rPr>
          <w:tab/>
        </w:r>
        <w:r w:rsidR="00F36AEA">
          <w:rPr>
            <w:noProof/>
            <w:webHidden/>
          </w:rPr>
          <w:fldChar w:fldCharType="begin"/>
        </w:r>
        <w:r w:rsidR="00F36AEA">
          <w:rPr>
            <w:noProof/>
            <w:webHidden/>
          </w:rPr>
          <w:instrText xml:space="preserve"> PAGEREF _Toc116555572 \h </w:instrText>
        </w:r>
        <w:r w:rsidR="00F36AEA">
          <w:rPr>
            <w:noProof/>
            <w:webHidden/>
          </w:rPr>
        </w:r>
        <w:r w:rsidR="00F36AEA">
          <w:rPr>
            <w:noProof/>
            <w:webHidden/>
          </w:rPr>
          <w:fldChar w:fldCharType="separate"/>
        </w:r>
        <w:r w:rsidR="00F36AEA">
          <w:rPr>
            <w:noProof/>
            <w:webHidden/>
          </w:rPr>
          <w:t>32</w:t>
        </w:r>
        <w:r w:rsidR="00F36AEA">
          <w:rPr>
            <w:noProof/>
            <w:webHidden/>
          </w:rPr>
          <w:fldChar w:fldCharType="end"/>
        </w:r>
      </w:hyperlink>
    </w:p>
    <w:p w14:paraId="409E6372" w14:textId="400089DC" w:rsidR="00F36AEA" w:rsidRDefault="00655B21">
      <w:pPr>
        <w:pStyle w:val="TOC2"/>
        <w:rPr>
          <w:rFonts w:asciiTheme="minorHAnsi" w:eastAsiaTheme="minorEastAsia" w:hAnsiTheme="minorHAnsi" w:cstheme="minorBidi"/>
          <w:noProof/>
          <w:color w:val="auto"/>
          <w:sz w:val="22"/>
          <w:szCs w:val="22"/>
        </w:rPr>
      </w:pPr>
      <w:hyperlink w:anchor="_Toc116555573" w:history="1">
        <w:r w:rsidR="00F36AEA" w:rsidRPr="004605FD">
          <w:rPr>
            <w:rStyle w:val="Hyperlink"/>
            <w:noProof/>
          </w:rPr>
          <w:t>A1.2 Care homes</w:t>
        </w:r>
        <w:r w:rsidR="00F36AEA">
          <w:rPr>
            <w:noProof/>
            <w:webHidden/>
          </w:rPr>
          <w:tab/>
        </w:r>
        <w:r w:rsidR="00F36AEA">
          <w:rPr>
            <w:noProof/>
            <w:webHidden/>
          </w:rPr>
          <w:fldChar w:fldCharType="begin"/>
        </w:r>
        <w:r w:rsidR="00F36AEA">
          <w:rPr>
            <w:noProof/>
            <w:webHidden/>
          </w:rPr>
          <w:instrText xml:space="preserve"> PAGEREF _Toc116555573 \h </w:instrText>
        </w:r>
        <w:r w:rsidR="00F36AEA">
          <w:rPr>
            <w:noProof/>
            <w:webHidden/>
          </w:rPr>
        </w:r>
        <w:r w:rsidR="00F36AEA">
          <w:rPr>
            <w:noProof/>
            <w:webHidden/>
          </w:rPr>
          <w:fldChar w:fldCharType="separate"/>
        </w:r>
        <w:r w:rsidR="00F36AEA">
          <w:rPr>
            <w:noProof/>
            <w:webHidden/>
          </w:rPr>
          <w:t>33</w:t>
        </w:r>
        <w:r w:rsidR="00F36AEA">
          <w:rPr>
            <w:noProof/>
            <w:webHidden/>
          </w:rPr>
          <w:fldChar w:fldCharType="end"/>
        </w:r>
      </w:hyperlink>
    </w:p>
    <w:p w14:paraId="1759D71F" w14:textId="23B60603" w:rsidR="00F36AEA" w:rsidRDefault="00655B21">
      <w:pPr>
        <w:pStyle w:val="TOC3"/>
        <w:rPr>
          <w:rFonts w:asciiTheme="minorHAnsi" w:eastAsiaTheme="minorEastAsia" w:hAnsiTheme="minorHAnsi" w:cstheme="minorBidi"/>
          <w:noProof/>
          <w:color w:val="auto"/>
          <w:sz w:val="22"/>
          <w:szCs w:val="22"/>
        </w:rPr>
      </w:pPr>
      <w:hyperlink w:anchor="_Toc116555574" w:history="1">
        <w:r w:rsidR="00F36AEA" w:rsidRPr="004605FD">
          <w:rPr>
            <w:rStyle w:val="Hyperlink"/>
            <w:noProof/>
          </w:rPr>
          <w:t>A1.2.1 Whole business return for care homes</w:t>
        </w:r>
        <w:r w:rsidR="00F36AEA">
          <w:rPr>
            <w:noProof/>
            <w:webHidden/>
          </w:rPr>
          <w:tab/>
        </w:r>
        <w:r w:rsidR="00F36AEA">
          <w:rPr>
            <w:noProof/>
            <w:webHidden/>
          </w:rPr>
          <w:fldChar w:fldCharType="begin"/>
        </w:r>
        <w:r w:rsidR="00F36AEA">
          <w:rPr>
            <w:noProof/>
            <w:webHidden/>
          </w:rPr>
          <w:instrText xml:space="preserve"> PAGEREF _Toc116555574 \h </w:instrText>
        </w:r>
        <w:r w:rsidR="00F36AEA">
          <w:rPr>
            <w:noProof/>
            <w:webHidden/>
          </w:rPr>
        </w:r>
        <w:r w:rsidR="00F36AEA">
          <w:rPr>
            <w:noProof/>
            <w:webHidden/>
          </w:rPr>
          <w:fldChar w:fldCharType="separate"/>
        </w:r>
        <w:r w:rsidR="00F36AEA">
          <w:rPr>
            <w:noProof/>
            <w:webHidden/>
          </w:rPr>
          <w:t>33</w:t>
        </w:r>
        <w:r w:rsidR="00F36AEA">
          <w:rPr>
            <w:noProof/>
            <w:webHidden/>
          </w:rPr>
          <w:fldChar w:fldCharType="end"/>
        </w:r>
      </w:hyperlink>
    </w:p>
    <w:p w14:paraId="6C9E7768" w14:textId="5BF06448" w:rsidR="00F36AEA" w:rsidRDefault="00655B21">
      <w:pPr>
        <w:pStyle w:val="TOC3"/>
        <w:rPr>
          <w:rFonts w:asciiTheme="minorHAnsi" w:eastAsiaTheme="minorEastAsia" w:hAnsiTheme="minorHAnsi" w:cstheme="minorBidi"/>
          <w:noProof/>
          <w:color w:val="auto"/>
          <w:sz w:val="22"/>
          <w:szCs w:val="22"/>
        </w:rPr>
      </w:pPr>
      <w:hyperlink w:anchor="_Toc116555575" w:history="1">
        <w:r w:rsidR="00F36AEA" w:rsidRPr="004605FD">
          <w:rPr>
            <w:rStyle w:val="Hyperlink"/>
            <w:noProof/>
          </w:rPr>
          <w:t>A1.2.2 Return on capital invested in care home accommodation</w:t>
        </w:r>
        <w:r w:rsidR="00F36AEA">
          <w:rPr>
            <w:noProof/>
            <w:webHidden/>
          </w:rPr>
          <w:tab/>
        </w:r>
        <w:r w:rsidR="00F36AEA">
          <w:rPr>
            <w:noProof/>
            <w:webHidden/>
          </w:rPr>
          <w:fldChar w:fldCharType="begin"/>
        </w:r>
        <w:r w:rsidR="00F36AEA">
          <w:rPr>
            <w:noProof/>
            <w:webHidden/>
          </w:rPr>
          <w:instrText xml:space="preserve"> PAGEREF _Toc116555575 \h </w:instrText>
        </w:r>
        <w:r w:rsidR="00F36AEA">
          <w:rPr>
            <w:noProof/>
            <w:webHidden/>
          </w:rPr>
        </w:r>
        <w:r w:rsidR="00F36AEA">
          <w:rPr>
            <w:noProof/>
            <w:webHidden/>
          </w:rPr>
          <w:fldChar w:fldCharType="separate"/>
        </w:r>
        <w:r w:rsidR="00F36AEA">
          <w:rPr>
            <w:noProof/>
            <w:webHidden/>
          </w:rPr>
          <w:t>34</w:t>
        </w:r>
        <w:r w:rsidR="00F36AEA">
          <w:rPr>
            <w:noProof/>
            <w:webHidden/>
          </w:rPr>
          <w:fldChar w:fldCharType="end"/>
        </w:r>
      </w:hyperlink>
    </w:p>
    <w:p w14:paraId="1657C4FF" w14:textId="1EB90F1A" w:rsidR="00F36AEA" w:rsidRDefault="00655B21">
      <w:pPr>
        <w:pStyle w:val="TOC3"/>
        <w:rPr>
          <w:rFonts w:asciiTheme="minorHAnsi" w:eastAsiaTheme="minorEastAsia" w:hAnsiTheme="minorHAnsi" w:cstheme="minorBidi"/>
          <w:noProof/>
          <w:color w:val="auto"/>
          <w:sz w:val="22"/>
          <w:szCs w:val="22"/>
        </w:rPr>
      </w:pPr>
      <w:hyperlink w:anchor="_Toc116555576" w:history="1">
        <w:r w:rsidR="00F36AEA" w:rsidRPr="004605FD">
          <w:rPr>
            <w:rStyle w:val="Hyperlink"/>
            <w:noProof/>
          </w:rPr>
          <w:t>A1.2.3 Return on operations for care homes</w:t>
        </w:r>
        <w:r w:rsidR="00F36AEA">
          <w:rPr>
            <w:noProof/>
            <w:webHidden/>
          </w:rPr>
          <w:tab/>
        </w:r>
        <w:r w:rsidR="00F36AEA">
          <w:rPr>
            <w:noProof/>
            <w:webHidden/>
          </w:rPr>
          <w:fldChar w:fldCharType="begin"/>
        </w:r>
        <w:r w:rsidR="00F36AEA">
          <w:rPr>
            <w:noProof/>
            <w:webHidden/>
          </w:rPr>
          <w:instrText xml:space="preserve"> PAGEREF _Toc116555576 \h </w:instrText>
        </w:r>
        <w:r w:rsidR="00F36AEA">
          <w:rPr>
            <w:noProof/>
            <w:webHidden/>
          </w:rPr>
        </w:r>
        <w:r w:rsidR="00F36AEA">
          <w:rPr>
            <w:noProof/>
            <w:webHidden/>
          </w:rPr>
          <w:fldChar w:fldCharType="separate"/>
        </w:r>
        <w:r w:rsidR="00F36AEA">
          <w:rPr>
            <w:noProof/>
            <w:webHidden/>
          </w:rPr>
          <w:t>36</w:t>
        </w:r>
        <w:r w:rsidR="00F36AEA">
          <w:rPr>
            <w:noProof/>
            <w:webHidden/>
          </w:rPr>
          <w:fldChar w:fldCharType="end"/>
        </w:r>
      </w:hyperlink>
    </w:p>
    <w:p w14:paraId="1D9750B0" w14:textId="402D39FC" w:rsidR="009C036D" w:rsidRPr="00063160" w:rsidRDefault="006C3538" w:rsidP="001D16C2">
      <w:r>
        <w:rPr>
          <w:rFonts w:eastAsia="Times New Roman" w:cs="Times New Roman"/>
          <w:sz w:val="20"/>
          <w:szCs w:val="20"/>
          <w:lang w:eastAsia="en-GB"/>
        </w:rPr>
        <w:fldChar w:fldCharType="end"/>
      </w:r>
    </w:p>
    <w:p w14:paraId="50FF30D4" w14:textId="77777777" w:rsidR="00057CF2" w:rsidRDefault="00057CF2" w:rsidP="001D16C2">
      <w:pPr>
        <w:rPr>
          <w:szCs w:val="32"/>
        </w:rPr>
      </w:pPr>
    </w:p>
    <w:p w14:paraId="69010B08" w14:textId="77777777" w:rsidR="00057CF2" w:rsidRDefault="00057CF2" w:rsidP="001D16C2">
      <w:pPr>
        <w:rPr>
          <w:szCs w:val="32"/>
        </w:rPr>
      </w:pPr>
    </w:p>
    <w:p w14:paraId="68111FD3" w14:textId="77777777" w:rsidR="00057CF2" w:rsidRDefault="00057CF2" w:rsidP="001D16C2">
      <w:pPr>
        <w:rPr>
          <w:szCs w:val="32"/>
        </w:rPr>
      </w:pPr>
    </w:p>
    <w:p w14:paraId="73FECD65" w14:textId="77777777" w:rsidR="00057CF2" w:rsidRDefault="00057CF2" w:rsidP="001D16C2">
      <w:pPr>
        <w:rPr>
          <w:szCs w:val="32"/>
        </w:rPr>
      </w:pPr>
    </w:p>
    <w:p w14:paraId="111AA38A" w14:textId="77777777" w:rsidR="00057CF2" w:rsidRDefault="00057CF2" w:rsidP="001D16C2">
      <w:pPr>
        <w:rPr>
          <w:szCs w:val="32"/>
        </w:rPr>
      </w:pPr>
    </w:p>
    <w:p w14:paraId="4600A4BF" w14:textId="77777777" w:rsidR="00057CF2" w:rsidRDefault="00057CF2" w:rsidP="001D16C2">
      <w:pPr>
        <w:rPr>
          <w:szCs w:val="32"/>
        </w:rPr>
      </w:pPr>
    </w:p>
    <w:p w14:paraId="21BD1565" w14:textId="77777777" w:rsidR="00057CF2" w:rsidRPr="00057CF2" w:rsidRDefault="00057CF2" w:rsidP="001D16C2">
      <w:pPr>
        <w:rPr>
          <w:lang w:eastAsia="en-GB"/>
        </w:rPr>
      </w:pPr>
    </w:p>
    <w:p w14:paraId="6DEA8DA5" w14:textId="77777777" w:rsidR="00057CF2" w:rsidRDefault="00057CF2" w:rsidP="001D16C2">
      <w:pPr>
        <w:rPr>
          <w:szCs w:val="32"/>
        </w:rPr>
      </w:pPr>
    </w:p>
    <w:p w14:paraId="5A48D77E" w14:textId="4E0EE640" w:rsidR="00235C5C" w:rsidRPr="00063160" w:rsidRDefault="0070734C" w:rsidP="003C5F0D">
      <w:pPr>
        <w:pStyle w:val="Heading1"/>
      </w:pPr>
      <w:r>
        <w:br w:type="page"/>
      </w:r>
      <w:bookmarkStart w:id="0" w:name="_Toc116555539"/>
      <w:r w:rsidR="001F36EC">
        <w:lastRenderedPageBreak/>
        <w:t xml:space="preserve">1 </w:t>
      </w:r>
      <w:r w:rsidR="006C3538" w:rsidRPr="00063160">
        <w:t>EXECUTIVE SUMMARY</w:t>
      </w:r>
      <w:bookmarkEnd w:id="0"/>
    </w:p>
    <w:p w14:paraId="377FF3FC" w14:textId="77777777" w:rsidR="00BE4BE4" w:rsidRDefault="00BE4BE4" w:rsidP="004345DD">
      <w:pPr>
        <w:spacing w:after="0" w:line="280" w:lineRule="exact"/>
        <w:jc w:val="both"/>
      </w:pPr>
    </w:p>
    <w:p w14:paraId="42BFE403" w14:textId="3474724C" w:rsidR="007F65C7" w:rsidRPr="00CE1A25" w:rsidRDefault="006C3538" w:rsidP="007F65C7">
      <w:pPr>
        <w:spacing w:after="0" w:line="280" w:lineRule="exact"/>
        <w:jc w:val="both"/>
        <w:rPr>
          <w:color w:val="auto"/>
        </w:rPr>
      </w:pPr>
      <w:r w:rsidRPr="00CE1A25">
        <w:rPr>
          <w:color w:val="auto"/>
        </w:rPr>
        <w:t xml:space="preserve">LaingBuisson was commissioned </w:t>
      </w:r>
      <w:r w:rsidR="00957A54" w:rsidRPr="00CE1A25">
        <w:rPr>
          <w:color w:val="auto"/>
        </w:rPr>
        <w:t>by</w:t>
      </w:r>
      <w:r w:rsidR="000111FF" w:rsidRPr="00CE1A25">
        <w:rPr>
          <w:color w:val="auto"/>
        </w:rPr>
        <w:t xml:space="preserve"> Sheffield</w:t>
      </w:r>
      <w:r w:rsidR="00953E28" w:rsidRPr="00CE1A25">
        <w:rPr>
          <w:color w:val="auto"/>
          <w:sz w:val="32"/>
        </w:rPr>
        <w:t xml:space="preserve"> </w:t>
      </w:r>
      <w:r w:rsidR="00957A54" w:rsidRPr="00CE1A25">
        <w:rPr>
          <w:color w:val="auto"/>
        </w:rPr>
        <w:t xml:space="preserve">Council </w:t>
      </w:r>
      <w:r w:rsidRPr="00CE1A25">
        <w:rPr>
          <w:color w:val="auto"/>
        </w:rPr>
        <w:t xml:space="preserve">in </w:t>
      </w:r>
      <w:r w:rsidR="0049443B" w:rsidRPr="00CE1A25">
        <w:rPr>
          <w:color w:val="auto"/>
        </w:rPr>
        <w:t>Ju</w:t>
      </w:r>
      <w:r w:rsidR="000111FF" w:rsidRPr="00CE1A25">
        <w:rPr>
          <w:color w:val="auto"/>
        </w:rPr>
        <w:t>ly</w:t>
      </w:r>
      <w:r w:rsidR="0049443B" w:rsidRPr="00CE1A25">
        <w:rPr>
          <w:color w:val="auto"/>
        </w:rPr>
        <w:t xml:space="preserve"> </w:t>
      </w:r>
      <w:r w:rsidRPr="00CE1A25">
        <w:rPr>
          <w:color w:val="auto"/>
        </w:rPr>
        <w:t xml:space="preserve">2022 to undertake </w:t>
      </w:r>
      <w:r w:rsidR="00CF3976" w:rsidRPr="00CE1A25">
        <w:rPr>
          <w:color w:val="auto"/>
        </w:rPr>
        <w:t>a</w:t>
      </w:r>
      <w:r w:rsidRPr="00CE1A25">
        <w:rPr>
          <w:color w:val="auto"/>
        </w:rPr>
        <w:t xml:space="preserve"> </w:t>
      </w:r>
      <w:r w:rsidR="00AE1052" w:rsidRPr="00CE1A25">
        <w:rPr>
          <w:color w:val="auto"/>
        </w:rPr>
        <w:t xml:space="preserve">Fair </w:t>
      </w:r>
      <w:r w:rsidRPr="00CE1A25">
        <w:rPr>
          <w:color w:val="auto"/>
        </w:rPr>
        <w:t xml:space="preserve">Cost of Care </w:t>
      </w:r>
      <w:r w:rsidR="00AE1052" w:rsidRPr="00CE1A25">
        <w:rPr>
          <w:color w:val="auto"/>
        </w:rPr>
        <w:t xml:space="preserve">(FCoC) </w:t>
      </w:r>
      <w:r w:rsidRPr="00CE1A25">
        <w:rPr>
          <w:color w:val="auto"/>
        </w:rPr>
        <w:t>exercise</w:t>
      </w:r>
      <w:r w:rsidR="00CF3976" w:rsidRPr="00CE1A25">
        <w:rPr>
          <w:color w:val="auto"/>
        </w:rPr>
        <w:t xml:space="preserve"> </w:t>
      </w:r>
      <w:r w:rsidR="00F47F22" w:rsidRPr="00CE1A25">
        <w:rPr>
          <w:color w:val="auto"/>
        </w:rPr>
        <w:t>covering</w:t>
      </w:r>
      <w:r w:rsidR="00CF3976" w:rsidRPr="00CE1A25">
        <w:rPr>
          <w:color w:val="auto"/>
        </w:rPr>
        <w:t xml:space="preserve"> registered care homes for older people (65+), as</w:t>
      </w:r>
      <w:r w:rsidR="004D5B0F" w:rsidRPr="00CE1A25">
        <w:rPr>
          <w:color w:val="auto"/>
        </w:rPr>
        <w:t xml:space="preserve"> described and specified in government guidance</w:t>
      </w:r>
      <w:r w:rsidRPr="00CE1A25">
        <w:rPr>
          <w:rStyle w:val="FootnoteReference"/>
          <w:color w:val="auto"/>
        </w:rPr>
        <w:footnoteReference w:id="1"/>
      </w:r>
      <w:r w:rsidR="00CF3976" w:rsidRPr="00CE1A25">
        <w:rPr>
          <w:color w:val="auto"/>
        </w:rPr>
        <w:t>.</w:t>
      </w:r>
    </w:p>
    <w:p w14:paraId="569B1C48" w14:textId="77777777" w:rsidR="00957A54" w:rsidRPr="00CE1A25" w:rsidRDefault="00957A54" w:rsidP="007F65C7">
      <w:pPr>
        <w:spacing w:after="0" w:line="280" w:lineRule="exact"/>
        <w:jc w:val="both"/>
        <w:rPr>
          <w:color w:val="auto"/>
        </w:rPr>
      </w:pPr>
    </w:p>
    <w:p w14:paraId="52B04E1A" w14:textId="3ABB417F" w:rsidR="007C72EF" w:rsidRPr="00CE1A25" w:rsidRDefault="006C3538" w:rsidP="002C7C16">
      <w:pPr>
        <w:spacing w:after="0" w:line="280" w:lineRule="exact"/>
        <w:jc w:val="both"/>
        <w:rPr>
          <w:color w:val="auto"/>
        </w:rPr>
      </w:pPr>
      <w:r w:rsidRPr="00CE1A25">
        <w:rPr>
          <w:color w:val="auto"/>
        </w:rPr>
        <w:t>Th</w:t>
      </w:r>
      <w:r w:rsidR="009203B3" w:rsidRPr="00CE1A25">
        <w:rPr>
          <w:color w:val="auto"/>
        </w:rPr>
        <w:t>is</w:t>
      </w:r>
      <w:r w:rsidRPr="00CE1A25">
        <w:rPr>
          <w:color w:val="auto"/>
        </w:rPr>
        <w:t xml:space="preserve"> report is </w:t>
      </w:r>
      <w:r w:rsidR="000E4550" w:rsidRPr="00CE1A25">
        <w:rPr>
          <w:color w:val="auto"/>
        </w:rPr>
        <w:t xml:space="preserve">based on </w:t>
      </w:r>
      <w:r w:rsidR="00090990" w:rsidRPr="00CE1A25">
        <w:rPr>
          <w:color w:val="auto"/>
        </w:rPr>
        <w:t xml:space="preserve">validated </w:t>
      </w:r>
      <w:r w:rsidR="000E4550" w:rsidRPr="00CE1A25">
        <w:rPr>
          <w:color w:val="auto"/>
        </w:rPr>
        <w:t xml:space="preserve">submissions </w:t>
      </w:r>
      <w:r w:rsidR="002566E8" w:rsidRPr="00CE1A25">
        <w:rPr>
          <w:color w:val="auto"/>
        </w:rPr>
        <w:t xml:space="preserve">relating to individual, registered care home services </w:t>
      </w:r>
      <w:r w:rsidR="004C003D" w:rsidRPr="00CE1A25">
        <w:rPr>
          <w:color w:val="auto"/>
        </w:rPr>
        <w:t xml:space="preserve">within the council’s boundaries </w:t>
      </w:r>
      <w:r w:rsidR="002566E8" w:rsidRPr="00CE1A25">
        <w:rPr>
          <w:color w:val="auto"/>
        </w:rPr>
        <w:t>which responded via</w:t>
      </w:r>
      <w:r w:rsidR="000E4550" w:rsidRPr="00CE1A25">
        <w:rPr>
          <w:color w:val="auto"/>
        </w:rPr>
        <w:t xml:space="preserve"> </w:t>
      </w:r>
      <w:r w:rsidR="00CF3976" w:rsidRPr="00CE1A25">
        <w:rPr>
          <w:color w:val="auto"/>
        </w:rPr>
        <w:t xml:space="preserve">the </w:t>
      </w:r>
      <w:r w:rsidR="007C72EF" w:rsidRPr="00CE1A25">
        <w:rPr>
          <w:color w:val="auto"/>
        </w:rPr>
        <w:t xml:space="preserve">DHSC recommended </w:t>
      </w:r>
      <w:r w:rsidR="00CF3976" w:rsidRPr="00CE1A25">
        <w:rPr>
          <w:color w:val="auto"/>
        </w:rPr>
        <w:t xml:space="preserve">CareCubed </w:t>
      </w:r>
      <w:r w:rsidR="002566E8" w:rsidRPr="00CE1A25">
        <w:rPr>
          <w:color w:val="auto"/>
        </w:rPr>
        <w:t>portal hosted by iESE</w:t>
      </w:r>
      <w:r w:rsidR="007C72EF" w:rsidRPr="00CE1A25">
        <w:rPr>
          <w:color w:val="auto"/>
        </w:rPr>
        <w:t>.</w:t>
      </w:r>
      <w:r w:rsidR="000E4550" w:rsidRPr="00CE1A25">
        <w:rPr>
          <w:color w:val="auto"/>
        </w:rPr>
        <w:t xml:space="preserve"> </w:t>
      </w:r>
    </w:p>
    <w:p w14:paraId="32F2358F" w14:textId="77777777" w:rsidR="007C72EF" w:rsidRPr="00CE1A25" w:rsidRDefault="007C72EF" w:rsidP="002C7C16">
      <w:pPr>
        <w:spacing w:after="0" w:line="280" w:lineRule="exact"/>
        <w:jc w:val="both"/>
        <w:rPr>
          <w:color w:val="auto"/>
        </w:rPr>
      </w:pPr>
    </w:p>
    <w:p w14:paraId="1798E427" w14:textId="5C166044" w:rsidR="00A5595F" w:rsidRPr="00CE1A25" w:rsidRDefault="00090990" w:rsidP="002C7C16">
      <w:pPr>
        <w:spacing w:after="0" w:line="280" w:lineRule="exact"/>
        <w:jc w:val="both"/>
        <w:rPr>
          <w:color w:val="auto"/>
        </w:rPr>
      </w:pPr>
      <w:r w:rsidRPr="00CE1A25">
        <w:rPr>
          <w:color w:val="auto"/>
        </w:rPr>
        <w:t>In the validation process, toolkit submissions were</w:t>
      </w:r>
      <w:r w:rsidR="006C3538" w:rsidRPr="00CE1A25">
        <w:rPr>
          <w:color w:val="auto"/>
        </w:rPr>
        <w:t xml:space="preserve"> checked by LaingBuisson </w:t>
      </w:r>
      <w:r w:rsidRPr="00CE1A25">
        <w:rPr>
          <w:color w:val="auto"/>
        </w:rPr>
        <w:t>for sense and co</w:t>
      </w:r>
      <w:r w:rsidR="00573620" w:rsidRPr="00CE1A25">
        <w:rPr>
          <w:color w:val="auto"/>
        </w:rPr>
        <w:t>n</w:t>
      </w:r>
      <w:r w:rsidRPr="00CE1A25">
        <w:rPr>
          <w:color w:val="auto"/>
        </w:rPr>
        <w:t>sistency</w:t>
      </w:r>
      <w:r w:rsidR="001A029C" w:rsidRPr="00CE1A25">
        <w:rPr>
          <w:color w:val="auto"/>
        </w:rPr>
        <w:t>,</w:t>
      </w:r>
      <w:r w:rsidR="00573620" w:rsidRPr="00CE1A25">
        <w:rPr>
          <w:color w:val="auto"/>
        </w:rPr>
        <w:t xml:space="preserve"> and anomalies were </w:t>
      </w:r>
      <w:r w:rsidR="006C3538" w:rsidRPr="00CE1A25">
        <w:rPr>
          <w:color w:val="auto"/>
        </w:rPr>
        <w:t xml:space="preserve">amended </w:t>
      </w:r>
      <w:r w:rsidR="00573620" w:rsidRPr="00CE1A25">
        <w:rPr>
          <w:color w:val="auto"/>
        </w:rPr>
        <w:t>as</w:t>
      </w:r>
      <w:r w:rsidR="006C3538" w:rsidRPr="00CE1A25">
        <w:rPr>
          <w:color w:val="auto"/>
        </w:rPr>
        <w:t xml:space="preserve"> necessary with the agreement of providers</w:t>
      </w:r>
      <w:r w:rsidRPr="00CE1A25">
        <w:rPr>
          <w:color w:val="auto"/>
        </w:rPr>
        <w:t>.</w:t>
      </w:r>
    </w:p>
    <w:p w14:paraId="5F757885" w14:textId="77777777" w:rsidR="00A5595F" w:rsidRPr="00CE1A25" w:rsidRDefault="00A5595F" w:rsidP="002C7C16">
      <w:pPr>
        <w:spacing w:after="0" w:line="280" w:lineRule="exact"/>
        <w:jc w:val="both"/>
        <w:rPr>
          <w:color w:val="auto"/>
        </w:rPr>
      </w:pPr>
    </w:p>
    <w:p w14:paraId="389D63AE" w14:textId="5A30F1E6" w:rsidR="002C7C16" w:rsidRPr="00CE1A25" w:rsidRDefault="006C3538" w:rsidP="002C7C16">
      <w:pPr>
        <w:spacing w:after="0" w:line="280" w:lineRule="exact"/>
        <w:jc w:val="both"/>
        <w:rPr>
          <w:color w:val="auto"/>
        </w:rPr>
      </w:pPr>
      <w:r w:rsidRPr="00CE1A25">
        <w:rPr>
          <w:color w:val="auto"/>
        </w:rPr>
        <w:t>Th</w:t>
      </w:r>
      <w:r w:rsidR="00987C89" w:rsidRPr="00CE1A25">
        <w:rPr>
          <w:color w:val="auto"/>
        </w:rPr>
        <w:t>is</w:t>
      </w:r>
      <w:r w:rsidRPr="00CE1A25">
        <w:rPr>
          <w:color w:val="auto"/>
        </w:rPr>
        <w:t xml:space="preserve"> report is presented together with a companion spreadsheet w</w:t>
      </w:r>
      <w:r w:rsidR="00CE37E3" w:rsidRPr="00CE1A25">
        <w:rPr>
          <w:color w:val="auto"/>
        </w:rPr>
        <w:t xml:space="preserve">hich </w:t>
      </w:r>
      <w:r w:rsidRPr="00CE1A25">
        <w:rPr>
          <w:color w:val="auto"/>
        </w:rPr>
        <w:t xml:space="preserve">lists all </w:t>
      </w:r>
      <w:r w:rsidR="00F0304E" w:rsidRPr="00CE1A25">
        <w:rPr>
          <w:color w:val="auto"/>
        </w:rPr>
        <w:t>validated responses</w:t>
      </w:r>
      <w:r w:rsidRPr="00CE1A25">
        <w:rPr>
          <w:color w:val="auto"/>
        </w:rPr>
        <w:t xml:space="preserve">, one row per </w:t>
      </w:r>
      <w:r w:rsidR="00F0304E" w:rsidRPr="00CE1A25">
        <w:rPr>
          <w:color w:val="auto"/>
        </w:rPr>
        <w:t>registered service</w:t>
      </w:r>
      <w:r w:rsidRPr="00CE1A25">
        <w:rPr>
          <w:color w:val="auto"/>
        </w:rPr>
        <w:t xml:space="preserve">, each with a range of data points </w:t>
      </w:r>
      <w:r w:rsidR="00F0304E" w:rsidRPr="00CE1A25">
        <w:rPr>
          <w:color w:val="auto"/>
        </w:rPr>
        <w:t xml:space="preserve">arranged in columns </w:t>
      </w:r>
      <w:r w:rsidRPr="00CE1A25">
        <w:rPr>
          <w:color w:val="auto"/>
        </w:rPr>
        <w:t>covering:</w:t>
      </w:r>
    </w:p>
    <w:p w14:paraId="0905CA21" w14:textId="77777777" w:rsidR="002C7C16" w:rsidRPr="00CE1A25" w:rsidRDefault="002C7C16" w:rsidP="002C7C16">
      <w:pPr>
        <w:spacing w:after="0" w:line="280" w:lineRule="exact"/>
        <w:jc w:val="both"/>
        <w:rPr>
          <w:color w:val="auto"/>
        </w:rPr>
      </w:pPr>
    </w:p>
    <w:p w14:paraId="3E280524" w14:textId="0D30F446" w:rsidR="002C7C16" w:rsidRPr="00CE1A25" w:rsidRDefault="006C3538" w:rsidP="0049443B">
      <w:pPr>
        <w:pStyle w:val="ListParagraph"/>
        <w:numPr>
          <w:ilvl w:val="0"/>
          <w:numId w:val="20"/>
        </w:numPr>
        <w:spacing w:after="240" w:line="280" w:lineRule="exact"/>
        <w:jc w:val="both"/>
        <w:rPr>
          <w:color w:val="auto"/>
        </w:rPr>
      </w:pPr>
      <w:r w:rsidRPr="00CE1A25">
        <w:rPr>
          <w:color w:val="auto"/>
        </w:rPr>
        <w:t xml:space="preserve">All of the detailed </w:t>
      </w:r>
      <w:r w:rsidR="00987C89" w:rsidRPr="00CE1A25">
        <w:rPr>
          <w:color w:val="auto"/>
        </w:rPr>
        <w:t xml:space="preserve">operating </w:t>
      </w:r>
      <w:r w:rsidRPr="00CE1A25">
        <w:rPr>
          <w:color w:val="auto"/>
        </w:rPr>
        <w:t xml:space="preserve">cost categories </w:t>
      </w:r>
      <w:r w:rsidR="00F47F22" w:rsidRPr="00CE1A25">
        <w:rPr>
          <w:color w:val="auto"/>
        </w:rPr>
        <w:t>and</w:t>
      </w:r>
      <w:r w:rsidRPr="00CE1A25">
        <w:rPr>
          <w:color w:val="auto"/>
        </w:rPr>
        <w:t xml:space="preserve"> supporting items of information required by DHSC</w:t>
      </w:r>
      <w:r w:rsidR="0070734C" w:rsidRPr="00CE1A25">
        <w:rPr>
          <w:color w:val="auto"/>
        </w:rPr>
        <w:t>,</w:t>
      </w:r>
      <w:r w:rsidR="004D1230" w:rsidRPr="00CE1A25">
        <w:rPr>
          <w:color w:val="auto"/>
        </w:rPr>
        <w:t xml:space="preserve"> </w:t>
      </w:r>
      <w:r w:rsidRPr="00CE1A25">
        <w:rPr>
          <w:color w:val="auto"/>
        </w:rPr>
        <w:t xml:space="preserve">extracted from </w:t>
      </w:r>
      <w:r w:rsidR="009203B3" w:rsidRPr="00CE1A25">
        <w:rPr>
          <w:color w:val="auto"/>
        </w:rPr>
        <w:t>respondents’</w:t>
      </w:r>
      <w:r w:rsidRPr="00CE1A25">
        <w:rPr>
          <w:color w:val="auto"/>
        </w:rPr>
        <w:t xml:space="preserve"> </w:t>
      </w:r>
      <w:r w:rsidR="004D1230" w:rsidRPr="00CE1A25">
        <w:rPr>
          <w:color w:val="auto"/>
        </w:rPr>
        <w:t xml:space="preserve">validated </w:t>
      </w:r>
      <w:r w:rsidRPr="00CE1A25">
        <w:rPr>
          <w:color w:val="auto"/>
        </w:rPr>
        <w:t xml:space="preserve">toolkit </w:t>
      </w:r>
      <w:r w:rsidR="0049443B" w:rsidRPr="00CE1A25">
        <w:rPr>
          <w:color w:val="auto"/>
        </w:rPr>
        <w:t>submissions</w:t>
      </w:r>
      <w:r w:rsidR="0085642C" w:rsidRPr="00CE1A25">
        <w:rPr>
          <w:color w:val="auto"/>
        </w:rPr>
        <w:t>;</w:t>
      </w:r>
    </w:p>
    <w:p w14:paraId="68103C61" w14:textId="51F49694" w:rsidR="00987C89" w:rsidRPr="00CE1A25" w:rsidRDefault="00987C89" w:rsidP="00BC327E">
      <w:pPr>
        <w:pStyle w:val="ListParagraph"/>
        <w:numPr>
          <w:ilvl w:val="0"/>
          <w:numId w:val="20"/>
        </w:numPr>
        <w:spacing w:after="240" w:line="280" w:lineRule="exact"/>
        <w:jc w:val="both"/>
        <w:rPr>
          <w:color w:val="auto"/>
        </w:rPr>
      </w:pPr>
      <w:r w:rsidRPr="00CE1A25">
        <w:rPr>
          <w:color w:val="auto"/>
        </w:rPr>
        <w:t xml:space="preserve">Return on </w:t>
      </w:r>
      <w:r w:rsidR="00BC327E" w:rsidRPr="00CE1A25">
        <w:rPr>
          <w:color w:val="auto"/>
        </w:rPr>
        <w:t>c</w:t>
      </w:r>
      <w:r w:rsidR="004D1230" w:rsidRPr="00CE1A25">
        <w:rPr>
          <w:color w:val="auto"/>
        </w:rPr>
        <w:t xml:space="preserve">apital and </w:t>
      </w:r>
      <w:r w:rsidR="00BC327E" w:rsidRPr="00CE1A25">
        <w:rPr>
          <w:color w:val="auto"/>
        </w:rPr>
        <w:t>r</w:t>
      </w:r>
      <w:r w:rsidR="004D1230" w:rsidRPr="00CE1A25">
        <w:rPr>
          <w:color w:val="auto"/>
        </w:rPr>
        <w:t xml:space="preserve">eturn on </w:t>
      </w:r>
      <w:r w:rsidR="00BC327E" w:rsidRPr="00CE1A25">
        <w:rPr>
          <w:color w:val="auto"/>
        </w:rPr>
        <w:t>o</w:t>
      </w:r>
      <w:r w:rsidR="004D1230" w:rsidRPr="00CE1A25">
        <w:rPr>
          <w:color w:val="auto"/>
        </w:rPr>
        <w:t>perations</w:t>
      </w:r>
      <w:r w:rsidR="0070734C" w:rsidRPr="00CE1A25">
        <w:rPr>
          <w:color w:val="auto"/>
        </w:rPr>
        <w:t xml:space="preserve">, </w:t>
      </w:r>
      <w:r w:rsidR="0054064F" w:rsidRPr="00CE1A25">
        <w:rPr>
          <w:color w:val="auto"/>
        </w:rPr>
        <w:t>calculated</w:t>
      </w:r>
      <w:r w:rsidR="00BC327E" w:rsidRPr="00CE1A25">
        <w:rPr>
          <w:color w:val="auto"/>
        </w:rPr>
        <w:t xml:space="preserve"> from </w:t>
      </w:r>
      <w:r w:rsidR="0085642C" w:rsidRPr="00CE1A25">
        <w:rPr>
          <w:color w:val="auto"/>
        </w:rPr>
        <w:t>benchmarks</w:t>
      </w:r>
      <w:r w:rsidR="004D1230" w:rsidRPr="00CE1A25">
        <w:rPr>
          <w:color w:val="auto"/>
        </w:rPr>
        <w:t xml:space="preserve"> determined by the council </w:t>
      </w:r>
      <w:r w:rsidR="00BC327E" w:rsidRPr="00CE1A25">
        <w:rPr>
          <w:color w:val="auto"/>
        </w:rPr>
        <w:t>on the basis of the best available evidence</w:t>
      </w:r>
      <w:r w:rsidR="00F47F22" w:rsidRPr="00CE1A25">
        <w:rPr>
          <w:color w:val="auto"/>
        </w:rPr>
        <w:t xml:space="preserve"> (see Appendix 1</w:t>
      </w:r>
      <w:r w:rsidR="001B535E" w:rsidRPr="00CE1A25">
        <w:rPr>
          <w:color w:val="auto"/>
        </w:rPr>
        <w:t>)</w:t>
      </w:r>
      <w:r w:rsidR="0085642C" w:rsidRPr="00CE1A25">
        <w:rPr>
          <w:color w:val="auto"/>
        </w:rPr>
        <w:t>. The benchmark</w:t>
      </w:r>
      <w:r w:rsidR="003E12B8" w:rsidRPr="00CE1A25">
        <w:rPr>
          <w:color w:val="auto"/>
        </w:rPr>
        <w:t>s</w:t>
      </w:r>
      <w:r w:rsidR="0054064F" w:rsidRPr="00CE1A25">
        <w:rPr>
          <w:color w:val="auto"/>
        </w:rPr>
        <w:t xml:space="preserve"> are:</w:t>
      </w:r>
      <w:r w:rsidR="003E12B8" w:rsidRPr="00CE1A25">
        <w:rPr>
          <w:color w:val="auto"/>
        </w:rPr>
        <w:t xml:space="preserve"> 6% per annum return on capital and 10% mark-up on operating costs for return on operations</w:t>
      </w:r>
      <w:r w:rsidR="00F0304E" w:rsidRPr="00CE1A25">
        <w:rPr>
          <w:color w:val="auto"/>
        </w:rPr>
        <w:t>. In line with DHSC guidance</w:t>
      </w:r>
      <w:r w:rsidR="001A029C" w:rsidRPr="00CE1A25">
        <w:rPr>
          <w:color w:val="auto"/>
        </w:rPr>
        <w:t>,</w:t>
      </w:r>
      <w:r w:rsidR="00AE1052" w:rsidRPr="00CE1A25">
        <w:rPr>
          <w:color w:val="auto"/>
        </w:rPr>
        <w:t xml:space="preserve"> </w:t>
      </w:r>
      <w:r w:rsidR="00C006F4" w:rsidRPr="00CE1A25">
        <w:rPr>
          <w:color w:val="auto"/>
        </w:rPr>
        <w:t xml:space="preserve">these benchmarks </w:t>
      </w:r>
      <w:r w:rsidR="004D1230" w:rsidRPr="00CE1A25">
        <w:rPr>
          <w:color w:val="auto"/>
        </w:rPr>
        <w:t>have supersede</w:t>
      </w:r>
      <w:r w:rsidR="008F2A96" w:rsidRPr="00CE1A25">
        <w:rPr>
          <w:color w:val="auto"/>
        </w:rPr>
        <w:t>d</w:t>
      </w:r>
      <w:r w:rsidR="004D1230" w:rsidRPr="00CE1A25">
        <w:rPr>
          <w:color w:val="auto"/>
        </w:rPr>
        <w:t xml:space="preserve"> the </w:t>
      </w:r>
      <w:r w:rsidR="0085642C" w:rsidRPr="00CE1A25">
        <w:rPr>
          <w:color w:val="auto"/>
        </w:rPr>
        <w:t>r</w:t>
      </w:r>
      <w:r w:rsidR="004D1230" w:rsidRPr="00CE1A25">
        <w:rPr>
          <w:color w:val="auto"/>
        </w:rPr>
        <w:t xml:space="preserve">eturn on </w:t>
      </w:r>
      <w:r w:rsidR="0085642C" w:rsidRPr="00CE1A25">
        <w:rPr>
          <w:color w:val="auto"/>
        </w:rPr>
        <w:t>c</w:t>
      </w:r>
      <w:r w:rsidR="004D1230" w:rsidRPr="00CE1A25">
        <w:rPr>
          <w:color w:val="auto"/>
        </w:rPr>
        <w:t xml:space="preserve">apital and </w:t>
      </w:r>
      <w:r w:rsidR="0085642C" w:rsidRPr="00CE1A25">
        <w:rPr>
          <w:color w:val="auto"/>
        </w:rPr>
        <w:t>r</w:t>
      </w:r>
      <w:r w:rsidR="004D1230" w:rsidRPr="00CE1A25">
        <w:rPr>
          <w:color w:val="auto"/>
        </w:rPr>
        <w:t xml:space="preserve">eturn on </w:t>
      </w:r>
      <w:r w:rsidR="0085642C" w:rsidRPr="00CE1A25">
        <w:rPr>
          <w:color w:val="auto"/>
        </w:rPr>
        <w:t>o</w:t>
      </w:r>
      <w:r w:rsidR="004D1230" w:rsidRPr="00CE1A25">
        <w:rPr>
          <w:color w:val="auto"/>
        </w:rPr>
        <w:t xml:space="preserve">perations figures stated by providers in </w:t>
      </w:r>
      <w:r w:rsidR="0070734C" w:rsidRPr="00CE1A25">
        <w:rPr>
          <w:color w:val="auto"/>
        </w:rPr>
        <w:t xml:space="preserve">their </w:t>
      </w:r>
      <w:r w:rsidR="004D1230" w:rsidRPr="00CE1A25">
        <w:rPr>
          <w:color w:val="auto"/>
        </w:rPr>
        <w:t>toolkit submissions</w:t>
      </w:r>
      <w:r w:rsidR="0085642C" w:rsidRPr="00CE1A25">
        <w:rPr>
          <w:color w:val="auto"/>
        </w:rPr>
        <w:t>;</w:t>
      </w:r>
    </w:p>
    <w:p w14:paraId="2899341D" w14:textId="49B16DC6" w:rsidR="00EA1EDB" w:rsidRPr="00CE1A25" w:rsidRDefault="0070734C" w:rsidP="00EA1EDB">
      <w:pPr>
        <w:pStyle w:val="ListParagraph"/>
        <w:numPr>
          <w:ilvl w:val="0"/>
          <w:numId w:val="20"/>
        </w:numPr>
        <w:spacing w:after="240" w:line="280" w:lineRule="exact"/>
        <w:jc w:val="both"/>
        <w:rPr>
          <w:color w:val="auto"/>
        </w:rPr>
      </w:pPr>
      <w:bookmarkStart w:id="1" w:name="_Hlk114579970"/>
      <w:r w:rsidRPr="00CE1A25">
        <w:rPr>
          <w:color w:val="auto"/>
        </w:rPr>
        <w:t>Key c</w:t>
      </w:r>
      <w:r w:rsidR="006C3538" w:rsidRPr="00CE1A25">
        <w:rPr>
          <w:color w:val="auto"/>
        </w:rPr>
        <w:t>haracteristics of each care home</w:t>
      </w:r>
      <w:r w:rsidR="0056466D" w:rsidRPr="00CE1A25">
        <w:rPr>
          <w:color w:val="auto"/>
        </w:rPr>
        <w:t xml:space="preserve"> </w:t>
      </w:r>
      <w:r w:rsidR="0085642C" w:rsidRPr="00CE1A25">
        <w:rPr>
          <w:color w:val="auto"/>
        </w:rPr>
        <w:t xml:space="preserve">which </w:t>
      </w:r>
      <w:r w:rsidR="006C3538" w:rsidRPr="00CE1A25">
        <w:rPr>
          <w:color w:val="auto"/>
        </w:rPr>
        <w:t>may assist in analysis related to market sustainability</w:t>
      </w:r>
      <w:r w:rsidR="0056466D" w:rsidRPr="00CE1A25">
        <w:rPr>
          <w:color w:val="auto"/>
        </w:rPr>
        <w:t>, such as scale, sector, group ownership, etc</w:t>
      </w:r>
      <w:r w:rsidR="002C218D" w:rsidRPr="00CE1A25">
        <w:rPr>
          <w:color w:val="auto"/>
        </w:rPr>
        <w:t xml:space="preserve">. </w:t>
      </w:r>
      <w:r w:rsidR="0056466D" w:rsidRPr="00CE1A25">
        <w:rPr>
          <w:color w:val="auto"/>
        </w:rPr>
        <w:t xml:space="preserve">This </w:t>
      </w:r>
      <w:r w:rsidR="009203B3" w:rsidRPr="00CE1A25">
        <w:rPr>
          <w:color w:val="auto"/>
        </w:rPr>
        <w:t xml:space="preserve">data </w:t>
      </w:r>
      <w:r w:rsidR="0056466D" w:rsidRPr="00CE1A25">
        <w:rPr>
          <w:color w:val="auto"/>
        </w:rPr>
        <w:t xml:space="preserve">is </w:t>
      </w:r>
      <w:r w:rsidR="009203B3" w:rsidRPr="00CE1A25">
        <w:rPr>
          <w:color w:val="auto"/>
        </w:rPr>
        <w:t xml:space="preserve">sourced from CQC and LaingBuisson’s data </w:t>
      </w:r>
      <w:r w:rsidR="0049443B" w:rsidRPr="00CE1A25">
        <w:rPr>
          <w:color w:val="auto"/>
        </w:rPr>
        <w:t>warehouse</w:t>
      </w:r>
      <w:bookmarkEnd w:id="1"/>
      <w:r w:rsidR="0085642C" w:rsidRPr="00CE1A25">
        <w:rPr>
          <w:color w:val="auto"/>
        </w:rPr>
        <w:t>; and</w:t>
      </w:r>
    </w:p>
    <w:p w14:paraId="5FBA395F" w14:textId="4FB8293F" w:rsidR="003F4E5D" w:rsidRPr="00CE1A25" w:rsidRDefault="006C3538" w:rsidP="00EA1EDB">
      <w:pPr>
        <w:pStyle w:val="ListParagraph"/>
        <w:numPr>
          <w:ilvl w:val="0"/>
          <w:numId w:val="20"/>
        </w:numPr>
        <w:spacing w:after="240" w:line="280" w:lineRule="exact"/>
        <w:jc w:val="both"/>
        <w:rPr>
          <w:color w:val="auto"/>
        </w:rPr>
      </w:pPr>
      <w:r w:rsidRPr="00CE1A25">
        <w:rPr>
          <w:color w:val="auto"/>
        </w:rPr>
        <w:t>Other ratios derived from the toolkit submissions, which may assist in understanding drivers of costs.</w:t>
      </w:r>
    </w:p>
    <w:p w14:paraId="67132F80" w14:textId="77777777" w:rsidR="00C006F4" w:rsidRPr="00CE1A25" w:rsidRDefault="00C006F4" w:rsidP="00182F79">
      <w:pPr>
        <w:spacing w:after="240" w:line="280" w:lineRule="exact"/>
        <w:ind w:left="360"/>
        <w:jc w:val="both"/>
        <w:rPr>
          <w:color w:val="auto"/>
        </w:rPr>
      </w:pPr>
    </w:p>
    <w:p w14:paraId="7EE93368" w14:textId="564D7852" w:rsidR="00573620" w:rsidRPr="00063160" w:rsidRDefault="001F36EC" w:rsidP="0070734C">
      <w:pPr>
        <w:pStyle w:val="Heading2"/>
        <w:spacing w:line="280" w:lineRule="exact"/>
        <w:ind w:right="0"/>
      </w:pPr>
      <w:bookmarkStart w:id="2" w:name="_Toc116555540"/>
      <w:r>
        <w:lastRenderedPageBreak/>
        <w:t xml:space="preserve">1.1 </w:t>
      </w:r>
      <w:r w:rsidR="006C3538">
        <w:t>Headline results</w:t>
      </w:r>
      <w:bookmarkEnd w:id="2"/>
    </w:p>
    <w:p w14:paraId="3E413AA3" w14:textId="77777777" w:rsidR="00553077" w:rsidRDefault="00553077" w:rsidP="0070734C">
      <w:pPr>
        <w:spacing w:after="0" w:line="280" w:lineRule="exact"/>
        <w:jc w:val="both"/>
      </w:pPr>
    </w:p>
    <w:p w14:paraId="709E16F2" w14:textId="534FB789" w:rsidR="003633D3" w:rsidRPr="00CE1A25" w:rsidRDefault="003633D3" w:rsidP="003633D3">
      <w:pPr>
        <w:spacing w:after="0" w:line="280" w:lineRule="exact"/>
        <w:jc w:val="both"/>
        <w:rPr>
          <w:color w:val="auto"/>
        </w:rPr>
      </w:pPr>
      <w:r>
        <w:t xml:space="preserve">A summary of median total costs derived from the FCoC exercise is presented in Table 1. </w:t>
      </w:r>
      <w:r w:rsidR="001B535E">
        <w:t xml:space="preserve">A more </w:t>
      </w:r>
      <w:r>
        <w:t xml:space="preserve">granular </w:t>
      </w:r>
      <w:r w:rsidR="001B535E">
        <w:t xml:space="preserve">analysis of the </w:t>
      </w:r>
      <w:r>
        <w:t xml:space="preserve">cost of care results, including </w:t>
      </w:r>
      <w:r w:rsidRPr="00CE1A25">
        <w:rPr>
          <w:color w:val="auto"/>
        </w:rPr>
        <w:t xml:space="preserve">all of the cost lines prescribed by DHSC for councils to qualify for grant funding, </w:t>
      </w:r>
      <w:r w:rsidR="001B535E" w:rsidRPr="00CE1A25">
        <w:rPr>
          <w:color w:val="auto"/>
        </w:rPr>
        <w:t>is</w:t>
      </w:r>
      <w:r w:rsidRPr="00CE1A25">
        <w:rPr>
          <w:color w:val="auto"/>
        </w:rPr>
        <w:t xml:space="preserve"> set out in Table</w:t>
      </w:r>
      <w:r w:rsidR="005826A0" w:rsidRPr="00CE1A25">
        <w:rPr>
          <w:color w:val="auto"/>
        </w:rPr>
        <w:t xml:space="preserve"> </w:t>
      </w:r>
      <w:r w:rsidR="001D16C2" w:rsidRPr="00CE1A25">
        <w:rPr>
          <w:color w:val="auto"/>
        </w:rPr>
        <w:t>4</w:t>
      </w:r>
      <w:r w:rsidR="006A0DF9" w:rsidRPr="00CE1A25">
        <w:rPr>
          <w:rStyle w:val="FootnoteReference"/>
          <w:color w:val="auto"/>
        </w:rPr>
        <w:footnoteReference w:id="2"/>
      </w:r>
      <w:r w:rsidRPr="00CE1A25">
        <w:rPr>
          <w:color w:val="auto"/>
        </w:rPr>
        <w:t>.</w:t>
      </w:r>
    </w:p>
    <w:p w14:paraId="6DF3C50F" w14:textId="3BDBBA2C" w:rsidR="00B77537" w:rsidRPr="00CE1A25" w:rsidRDefault="00B77537" w:rsidP="00A97CAE">
      <w:pPr>
        <w:spacing w:after="0" w:line="280" w:lineRule="exact"/>
        <w:jc w:val="both"/>
        <w:rPr>
          <w:color w:val="auto"/>
        </w:rPr>
      </w:pPr>
    </w:p>
    <w:p w14:paraId="538E73AA" w14:textId="51A2E350" w:rsidR="00B77537" w:rsidRPr="00CE1A25" w:rsidRDefault="003633D3" w:rsidP="00453105">
      <w:pPr>
        <w:pStyle w:val="TABLES"/>
        <w:rPr>
          <w:color w:val="auto"/>
        </w:rPr>
      </w:pPr>
      <w:r w:rsidRPr="00CE1A25">
        <w:rPr>
          <w:color w:val="auto"/>
        </w:rPr>
        <w:t>Table 1 Median total costs</w:t>
      </w:r>
      <w:r w:rsidRPr="00CE1A25">
        <w:rPr>
          <w:color w:val="auto"/>
          <w:vertAlign w:val="superscript"/>
        </w:rPr>
        <w:t>1</w:t>
      </w:r>
      <w:r w:rsidRPr="00CE1A25">
        <w:rPr>
          <w:color w:val="auto"/>
        </w:rPr>
        <w:t xml:space="preserve"> </w:t>
      </w:r>
      <w:r w:rsidR="008A5524" w:rsidRPr="00CE1A25">
        <w:rPr>
          <w:color w:val="auto"/>
        </w:rPr>
        <w:t xml:space="preserve">calculated </w:t>
      </w:r>
      <w:r w:rsidR="003F2D99" w:rsidRPr="00CE1A25">
        <w:rPr>
          <w:color w:val="auto"/>
        </w:rPr>
        <w:t>from</w:t>
      </w:r>
      <w:r w:rsidRPr="00CE1A25">
        <w:rPr>
          <w:color w:val="auto"/>
        </w:rPr>
        <w:t xml:space="preserve"> </w:t>
      </w:r>
      <w:r w:rsidR="008A5524" w:rsidRPr="00CE1A25">
        <w:rPr>
          <w:color w:val="auto"/>
        </w:rPr>
        <w:t>wholly or partly validated FCoC toolkit submissions</w:t>
      </w:r>
      <w:r w:rsidRPr="00CE1A25">
        <w:rPr>
          <w:color w:val="auto"/>
        </w:rPr>
        <w:t xml:space="preserve"> </w:t>
      </w:r>
      <w:r w:rsidR="003F2D99" w:rsidRPr="00CE1A25">
        <w:rPr>
          <w:color w:val="auto"/>
        </w:rPr>
        <w:t>by</w:t>
      </w:r>
      <w:r w:rsidR="008A5524" w:rsidRPr="00CE1A25">
        <w:rPr>
          <w:color w:val="auto"/>
        </w:rPr>
        <w:t xml:space="preserve"> providers lo</w:t>
      </w:r>
      <w:r w:rsidRPr="00CE1A25">
        <w:rPr>
          <w:color w:val="auto"/>
        </w:rPr>
        <w:t>cated in</w:t>
      </w:r>
      <w:r w:rsidR="000111FF" w:rsidRPr="00CE1A25">
        <w:rPr>
          <w:color w:val="auto"/>
        </w:rPr>
        <w:t xml:space="preserve"> Sheffield</w:t>
      </w:r>
      <w:r w:rsidR="005563A7" w:rsidRPr="00CE1A25">
        <w:rPr>
          <w:color w:val="auto"/>
        </w:rPr>
        <w:t xml:space="preserve"> </w:t>
      </w:r>
      <w:r w:rsidRPr="00CE1A25">
        <w:rPr>
          <w:color w:val="auto"/>
        </w:rPr>
        <w:t xml:space="preserve"> (including return on capital and operating profit) at 2022/23 prices</w:t>
      </w:r>
    </w:p>
    <w:tbl>
      <w:tblPr>
        <w:tblStyle w:val="TableGrid"/>
        <w:tblW w:w="0" w:type="auto"/>
        <w:tblLook w:val="04A0" w:firstRow="1" w:lastRow="0" w:firstColumn="1" w:lastColumn="0" w:noHBand="0" w:noVBand="1"/>
      </w:tblPr>
      <w:tblGrid>
        <w:gridCol w:w="2205"/>
        <w:gridCol w:w="1543"/>
        <w:gridCol w:w="1522"/>
        <w:gridCol w:w="2096"/>
        <w:gridCol w:w="3022"/>
        <w:gridCol w:w="1717"/>
        <w:gridCol w:w="1843"/>
      </w:tblGrid>
      <w:tr w:rsidR="00CE1A25" w:rsidRPr="00CE1A25" w14:paraId="202AA36E" w14:textId="77777777" w:rsidTr="007C03C4">
        <w:trPr>
          <w:trHeight w:val="1193"/>
        </w:trPr>
        <w:tc>
          <w:tcPr>
            <w:tcW w:w="2288" w:type="dxa"/>
          </w:tcPr>
          <w:p w14:paraId="1CEDC37D" w14:textId="77777777" w:rsidR="001E6DA6" w:rsidRPr="00CE1A25" w:rsidRDefault="001E6DA6" w:rsidP="001E6DA6">
            <w:pPr>
              <w:pStyle w:val="TABLES"/>
              <w:rPr>
                <w:b w:val="0"/>
                <w:bCs/>
                <w:color w:val="auto"/>
              </w:rPr>
            </w:pPr>
          </w:p>
        </w:tc>
        <w:tc>
          <w:tcPr>
            <w:tcW w:w="1584" w:type="dxa"/>
          </w:tcPr>
          <w:p w14:paraId="6871517F" w14:textId="25F74A7C" w:rsidR="001E6DA6" w:rsidRPr="00CE1A25" w:rsidRDefault="001E6DA6" w:rsidP="00467E17">
            <w:pPr>
              <w:pStyle w:val="TABLES"/>
              <w:jc w:val="right"/>
              <w:rPr>
                <w:b w:val="0"/>
                <w:bCs/>
                <w:color w:val="auto"/>
              </w:rPr>
            </w:pPr>
            <w:r w:rsidRPr="00CE1A25">
              <w:rPr>
                <w:b w:val="0"/>
                <w:bCs/>
                <w:color w:val="auto"/>
              </w:rPr>
              <w:t>Standard</w:t>
            </w:r>
          </w:p>
        </w:tc>
        <w:tc>
          <w:tcPr>
            <w:tcW w:w="1555" w:type="dxa"/>
          </w:tcPr>
          <w:p w14:paraId="5E507317" w14:textId="1AF14965" w:rsidR="001E6DA6" w:rsidRPr="00CE1A25" w:rsidRDefault="001E6DA6" w:rsidP="00467E17">
            <w:pPr>
              <w:pStyle w:val="TABLES"/>
              <w:jc w:val="right"/>
              <w:rPr>
                <w:b w:val="0"/>
                <w:bCs/>
                <w:color w:val="auto"/>
              </w:rPr>
            </w:pPr>
            <w:r w:rsidRPr="00CE1A25">
              <w:rPr>
                <w:b w:val="0"/>
                <w:bCs/>
                <w:color w:val="auto"/>
              </w:rPr>
              <w:t>Enhanced Care</w:t>
            </w:r>
          </w:p>
        </w:tc>
        <w:tc>
          <w:tcPr>
            <w:tcW w:w="2096" w:type="dxa"/>
          </w:tcPr>
          <w:p w14:paraId="4F5C2028" w14:textId="06F3B7D6" w:rsidR="001E6DA6" w:rsidRPr="00CE1A25" w:rsidRDefault="001E6DA6" w:rsidP="00467E17">
            <w:pPr>
              <w:pStyle w:val="TABLES"/>
              <w:numPr>
                <w:ilvl w:val="0"/>
                <w:numId w:val="44"/>
              </w:numPr>
              <w:jc w:val="right"/>
              <w:rPr>
                <w:b w:val="0"/>
                <w:bCs/>
                <w:color w:val="auto"/>
              </w:rPr>
            </w:pPr>
            <w:r w:rsidRPr="00CE1A25">
              <w:rPr>
                <w:b w:val="0"/>
                <w:bCs/>
                <w:color w:val="auto"/>
              </w:rPr>
              <w:t>Fully validated submissions</w:t>
            </w:r>
          </w:p>
        </w:tc>
        <w:tc>
          <w:tcPr>
            <w:tcW w:w="3102" w:type="dxa"/>
          </w:tcPr>
          <w:p w14:paraId="1C4A8077" w14:textId="4F5B90E3" w:rsidR="001E6DA6" w:rsidRPr="00CE1A25" w:rsidRDefault="000715A8" w:rsidP="00467E17">
            <w:pPr>
              <w:pStyle w:val="TABLES"/>
              <w:numPr>
                <w:ilvl w:val="0"/>
                <w:numId w:val="44"/>
              </w:numPr>
              <w:jc w:val="right"/>
              <w:rPr>
                <w:b w:val="0"/>
                <w:bCs/>
                <w:color w:val="auto"/>
              </w:rPr>
            </w:pPr>
            <w:r w:rsidRPr="00CE1A25">
              <w:rPr>
                <w:b w:val="0"/>
                <w:bCs/>
                <w:color w:val="auto"/>
              </w:rPr>
              <w:t>Partially validated s</w:t>
            </w:r>
            <w:r w:rsidR="001E6DA6" w:rsidRPr="00CE1A25">
              <w:rPr>
                <w:b w:val="0"/>
                <w:bCs/>
                <w:color w:val="auto"/>
              </w:rPr>
              <w:t xml:space="preserve">ubmissions </w:t>
            </w:r>
            <w:r w:rsidRPr="00CE1A25">
              <w:rPr>
                <w:b w:val="0"/>
                <w:bCs/>
                <w:color w:val="auto"/>
              </w:rPr>
              <w:t xml:space="preserve">(with </w:t>
            </w:r>
            <w:r w:rsidR="001E6DA6" w:rsidRPr="00CE1A25">
              <w:rPr>
                <w:b w:val="0"/>
                <w:bCs/>
                <w:color w:val="auto"/>
              </w:rPr>
              <w:t>one or more validated cost lines</w:t>
            </w:r>
            <w:r w:rsidRPr="00CE1A25">
              <w:rPr>
                <w:b w:val="0"/>
                <w:bCs/>
                <w:color w:val="auto"/>
              </w:rPr>
              <w:t>)</w:t>
            </w:r>
          </w:p>
        </w:tc>
        <w:tc>
          <w:tcPr>
            <w:tcW w:w="1419" w:type="dxa"/>
          </w:tcPr>
          <w:p w14:paraId="712F1837" w14:textId="500C640A" w:rsidR="001E6DA6" w:rsidRPr="00CE1A25" w:rsidRDefault="001E6DA6" w:rsidP="00467E17">
            <w:pPr>
              <w:pStyle w:val="TABLES"/>
              <w:numPr>
                <w:ilvl w:val="0"/>
                <w:numId w:val="44"/>
              </w:numPr>
              <w:jc w:val="right"/>
              <w:rPr>
                <w:b w:val="0"/>
                <w:bCs/>
                <w:color w:val="auto"/>
              </w:rPr>
            </w:pPr>
            <w:r w:rsidRPr="00CE1A25">
              <w:rPr>
                <w:b w:val="0"/>
                <w:bCs/>
                <w:color w:val="auto"/>
              </w:rPr>
              <w:t>Services in scope</w:t>
            </w:r>
          </w:p>
        </w:tc>
        <w:tc>
          <w:tcPr>
            <w:tcW w:w="1904" w:type="dxa"/>
          </w:tcPr>
          <w:p w14:paraId="75EE8C1F" w14:textId="77777777" w:rsidR="001E6DA6" w:rsidRPr="00CE1A25" w:rsidRDefault="001E6DA6" w:rsidP="00467E17">
            <w:pPr>
              <w:spacing w:line="280" w:lineRule="exact"/>
              <w:jc w:val="right"/>
              <w:rPr>
                <w:bCs/>
                <w:color w:val="auto"/>
              </w:rPr>
            </w:pPr>
            <w:r w:rsidRPr="00CE1A25">
              <w:rPr>
                <w:bCs/>
                <w:color w:val="auto"/>
              </w:rPr>
              <w:t xml:space="preserve">Response rate  </w:t>
            </w:r>
          </w:p>
          <w:p w14:paraId="36C0DEA8" w14:textId="340D51BD" w:rsidR="001E6DA6" w:rsidRPr="00CE1A25" w:rsidRDefault="001E6DA6" w:rsidP="00467E17">
            <w:pPr>
              <w:pStyle w:val="TABLES"/>
              <w:jc w:val="right"/>
              <w:rPr>
                <w:b w:val="0"/>
                <w:bCs/>
                <w:color w:val="auto"/>
              </w:rPr>
            </w:pPr>
            <w:r w:rsidRPr="00CE1A25">
              <w:rPr>
                <w:b w:val="0"/>
                <w:bCs/>
                <w:color w:val="auto"/>
              </w:rPr>
              <w:t>(</w:t>
            </w:r>
            <w:r w:rsidR="000715A8" w:rsidRPr="00CE1A25">
              <w:rPr>
                <w:b w:val="0"/>
                <w:bCs/>
                <w:color w:val="auto"/>
              </w:rPr>
              <w:t xml:space="preserve">A+ </w:t>
            </w:r>
            <w:r w:rsidRPr="00CE1A25">
              <w:rPr>
                <w:b w:val="0"/>
                <w:bCs/>
                <w:color w:val="auto"/>
              </w:rPr>
              <w:t>B</w:t>
            </w:r>
            <w:r w:rsidR="007C03C4" w:rsidRPr="00CE1A25">
              <w:rPr>
                <w:b w:val="0"/>
                <w:bCs/>
                <w:color w:val="auto"/>
              </w:rPr>
              <w:t>)</w:t>
            </w:r>
            <w:r w:rsidRPr="00CE1A25">
              <w:rPr>
                <w:b w:val="0"/>
                <w:bCs/>
                <w:color w:val="auto"/>
              </w:rPr>
              <w:t xml:space="preserve"> / C * 100</w:t>
            </w:r>
          </w:p>
        </w:tc>
      </w:tr>
      <w:tr w:rsidR="00CE1A25" w:rsidRPr="00CE1A25" w14:paraId="478E6A17" w14:textId="77777777" w:rsidTr="007C03C4">
        <w:tc>
          <w:tcPr>
            <w:tcW w:w="2288" w:type="dxa"/>
          </w:tcPr>
          <w:p w14:paraId="1ECC88FB" w14:textId="77777777" w:rsidR="001E6DA6" w:rsidRPr="00CE1A25" w:rsidRDefault="001E6DA6" w:rsidP="001E6DA6">
            <w:pPr>
              <w:pStyle w:val="TABLES"/>
              <w:rPr>
                <w:b w:val="0"/>
                <w:bCs/>
                <w:color w:val="auto"/>
              </w:rPr>
            </w:pPr>
          </w:p>
        </w:tc>
        <w:tc>
          <w:tcPr>
            <w:tcW w:w="1584" w:type="dxa"/>
          </w:tcPr>
          <w:p w14:paraId="27AFCCBE" w14:textId="34F04F1E" w:rsidR="001E6DA6" w:rsidRPr="00CE1A25" w:rsidRDefault="001E6DA6" w:rsidP="00467E17">
            <w:pPr>
              <w:pStyle w:val="TABLES"/>
              <w:jc w:val="right"/>
              <w:rPr>
                <w:b w:val="0"/>
                <w:bCs/>
                <w:color w:val="auto"/>
              </w:rPr>
            </w:pPr>
            <w:r w:rsidRPr="00CE1A25">
              <w:rPr>
                <w:b w:val="0"/>
                <w:bCs/>
                <w:color w:val="auto"/>
              </w:rPr>
              <w:t>£ per week</w:t>
            </w:r>
          </w:p>
        </w:tc>
        <w:tc>
          <w:tcPr>
            <w:tcW w:w="1555" w:type="dxa"/>
          </w:tcPr>
          <w:p w14:paraId="1E4E5A69" w14:textId="02181076" w:rsidR="001E6DA6" w:rsidRPr="00CE1A25" w:rsidRDefault="001E6DA6" w:rsidP="00467E17">
            <w:pPr>
              <w:pStyle w:val="TABLES"/>
              <w:jc w:val="right"/>
              <w:rPr>
                <w:b w:val="0"/>
                <w:bCs/>
                <w:color w:val="auto"/>
              </w:rPr>
            </w:pPr>
            <w:r w:rsidRPr="00CE1A25">
              <w:rPr>
                <w:b w:val="0"/>
                <w:bCs/>
                <w:color w:val="auto"/>
              </w:rPr>
              <w:t>£ per week</w:t>
            </w:r>
          </w:p>
        </w:tc>
        <w:tc>
          <w:tcPr>
            <w:tcW w:w="2096" w:type="dxa"/>
          </w:tcPr>
          <w:p w14:paraId="3EEF2943" w14:textId="703C3B2F" w:rsidR="001E6DA6" w:rsidRPr="00CE1A25" w:rsidRDefault="001E6DA6" w:rsidP="00467E17">
            <w:pPr>
              <w:pStyle w:val="TABLES"/>
              <w:jc w:val="right"/>
              <w:rPr>
                <w:b w:val="0"/>
                <w:bCs/>
                <w:color w:val="auto"/>
              </w:rPr>
            </w:pPr>
            <w:r w:rsidRPr="00CE1A25">
              <w:rPr>
                <w:b w:val="0"/>
                <w:bCs/>
                <w:color w:val="auto"/>
              </w:rPr>
              <w:t>Number</w:t>
            </w:r>
          </w:p>
        </w:tc>
        <w:tc>
          <w:tcPr>
            <w:tcW w:w="3102" w:type="dxa"/>
          </w:tcPr>
          <w:p w14:paraId="780ED53D" w14:textId="51B75C62" w:rsidR="001E6DA6" w:rsidRPr="00CE1A25" w:rsidRDefault="001E6DA6" w:rsidP="00467E17">
            <w:pPr>
              <w:pStyle w:val="TABLES"/>
              <w:jc w:val="right"/>
              <w:rPr>
                <w:b w:val="0"/>
                <w:bCs/>
                <w:color w:val="auto"/>
              </w:rPr>
            </w:pPr>
            <w:r w:rsidRPr="00CE1A25">
              <w:rPr>
                <w:b w:val="0"/>
                <w:bCs/>
                <w:color w:val="auto"/>
              </w:rPr>
              <w:t>Number</w:t>
            </w:r>
          </w:p>
        </w:tc>
        <w:tc>
          <w:tcPr>
            <w:tcW w:w="1419" w:type="dxa"/>
          </w:tcPr>
          <w:p w14:paraId="6C17868F" w14:textId="025FF226" w:rsidR="001E6DA6" w:rsidRPr="00CE1A25" w:rsidRDefault="001E6DA6" w:rsidP="00467E17">
            <w:pPr>
              <w:pStyle w:val="TABLES"/>
              <w:jc w:val="right"/>
              <w:rPr>
                <w:b w:val="0"/>
                <w:bCs/>
                <w:color w:val="auto"/>
              </w:rPr>
            </w:pPr>
            <w:r w:rsidRPr="00CE1A25">
              <w:rPr>
                <w:b w:val="0"/>
                <w:bCs/>
                <w:color w:val="auto"/>
              </w:rPr>
              <w:t>Number</w:t>
            </w:r>
          </w:p>
        </w:tc>
        <w:tc>
          <w:tcPr>
            <w:tcW w:w="1904" w:type="dxa"/>
          </w:tcPr>
          <w:p w14:paraId="5D921076" w14:textId="35D9476A" w:rsidR="001E6DA6" w:rsidRPr="00CE1A25" w:rsidRDefault="001E6DA6" w:rsidP="00467E17">
            <w:pPr>
              <w:pStyle w:val="TABLES"/>
              <w:jc w:val="right"/>
              <w:rPr>
                <w:b w:val="0"/>
                <w:bCs/>
                <w:color w:val="auto"/>
              </w:rPr>
            </w:pPr>
            <w:r w:rsidRPr="00CE1A25">
              <w:rPr>
                <w:b w:val="0"/>
                <w:bCs/>
                <w:color w:val="auto"/>
              </w:rPr>
              <w:t>%</w:t>
            </w:r>
          </w:p>
        </w:tc>
      </w:tr>
      <w:tr w:rsidR="00CE1A25" w:rsidRPr="00CE1A25" w14:paraId="5F869E5B" w14:textId="77777777" w:rsidTr="007C03C4">
        <w:tc>
          <w:tcPr>
            <w:tcW w:w="2288" w:type="dxa"/>
          </w:tcPr>
          <w:p w14:paraId="3D88CB6C" w14:textId="6B957C68" w:rsidR="001E6DA6" w:rsidRPr="00CE1A25" w:rsidRDefault="001E6DA6" w:rsidP="001E6DA6">
            <w:pPr>
              <w:pStyle w:val="TABLES"/>
              <w:rPr>
                <w:b w:val="0"/>
                <w:bCs/>
                <w:color w:val="auto"/>
              </w:rPr>
            </w:pPr>
            <w:r w:rsidRPr="00CE1A25">
              <w:rPr>
                <w:b w:val="0"/>
                <w:bCs/>
                <w:color w:val="auto"/>
              </w:rPr>
              <w:t xml:space="preserve">Nursing homes (65+) </w:t>
            </w:r>
          </w:p>
        </w:tc>
        <w:tc>
          <w:tcPr>
            <w:tcW w:w="1584" w:type="dxa"/>
          </w:tcPr>
          <w:p w14:paraId="43F0CA9F" w14:textId="32CBD315" w:rsidR="001E6DA6" w:rsidRPr="00CE1A25" w:rsidRDefault="00572731" w:rsidP="00467E17">
            <w:pPr>
              <w:pStyle w:val="TABLES"/>
              <w:jc w:val="right"/>
              <w:rPr>
                <w:b w:val="0"/>
                <w:bCs/>
                <w:color w:val="auto"/>
              </w:rPr>
            </w:pPr>
            <w:r>
              <w:rPr>
                <w:b w:val="0"/>
                <w:bCs/>
                <w:color w:val="auto"/>
              </w:rPr>
              <w:t>976.52</w:t>
            </w:r>
          </w:p>
        </w:tc>
        <w:tc>
          <w:tcPr>
            <w:tcW w:w="1555" w:type="dxa"/>
          </w:tcPr>
          <w:p w14:paraId="079A0E2E" w14:textId="4334B99F" w:rsidR="001E6DA6" w:rsidRPr="00CE1A25" w:rsidRDefault="000111FF" w:rsidP="00467E17">
            <w:pPr>
              <w:pStyle w:val="TABLES"/>
              <w:jc w:val="right"/>
              <w:rPr>
                <w:b w:val="0"/>
                <w:bCs/>
                <w:color w:val="auto"/>
              </w:rPr>
            </w:pPr>
            <w:r w:rsidRPr="00CE1A25">
              <w:rPr>
                <w:b w:val="0"/>
                <w:bCs/>
                <w:color w:val="auto"/>
              </w:rPr>
              <w:t>1,039.27</w:t>
            </w:r>
          </w:p>
        </w:tc>
        <w:tc>
          <w:tcPr>
            <w:tcW w:w="2096" w:type="dxa"/>
          </w:tcPr>
          <w:p w14:paraId="3C1EBB13" w14:textId="42BA2CB4" w:rsidR="001E6DA6" w:rsidRPr="00CE1A25" w:rsidRDefault="000111FF" w:rsidP="00467E17">
            <w:pPr>
              <w:pStyle w:val="TABLES"/>
              <w:jc w:val="right"/>
              <w:rPr>
                <w:b w:val="0"/>
                <w:bCs/>
                <w:color w:val="auto"/>
              </w:rPr>
            </w:pPr>
            <w:r w:rsidRPr="00CE1A25">
              <w:rPr>
                <w:b w:val="0"/>
                <w:bCs/>
                <w:color w:val="auto"/>
              </w:rPr>
              <w:t>19</w:t>
            </w:r>
          </w:p>
        </w:tc>
        <w:tc>
          <w:tcPr>
            <w:tcW w:w="3102" w:type="dxa"/>
          </w:tcPr>
          <w:p w14:paraId="01FBA2DF" w14:textId="3C6F6C20" w:rsidR="001E6DA6" w:rsidRPr="00CE1A25" w:rsidRDefault="000111FF" w:rsidP="00467E17">
            <w:pPr>
              <w:pStyle w:val="TABLES"/>
              <w:jc w:val="right"/>
              <w:rPr>
                <w:b w:val="0"/>
                <w:bCs/>
                <w:color w:val="auto"/>
              </w:rPr>
            </w:pPr>
            <w:r w:rsidRPr="00CE1A25">
              <w:rPr>
                <w:b w:val="0"/>
                <w:bCs/>
                <w:color w:val="auto"/>
              </w:rPr>
              <w:t>1</w:t>
            </w:r>
          </w:p>
        </w:tc>
        <w:tc>
          <w:tcPr>
            <w:tcW w:w="1419" w:type="dxa"/>
          </w:tcPr>
          <w:p w14:paraId="2DA3E5C2" w14:textId="399E751B" w:rsidR="001E6DA6" w:rsidRPr="00CE1A25" w:rsidRDefault="00EF47C6" w:rsidP="00467E17">
            <w:pPr>
              <w:pStyle w:val="TABLES"/>
              <w:jc w:val="right"/>
              <w:rPr>
                <w:b w:val="0"/>
                <w:bCs/>
                <w:color w:val="auto"/>
              </w:rPr>
            </w:pPr>
            <w:r w:rsidRPr="00CE1A25">
              <w:rPr>
                <w:b w:val="0"/>
                <w:bCs/>
                <w:color w:val="auto"/>
              </w:rPr>
              <w:t>36</w:t>
            </w:r>
          </w:p>
        </w:tc>
        <w:tc>
          <w:tcPr>
            <w:tcW w:w="1904" w:type="dxa"/>
          </w:tcPr>
          <w:p w14:paraId="03B2056B" w14:textId="15DAD85F" w:rsidR="001E6DA6" w:rsidRPr="00CE1A25" w:rsidRDefault="00EF47C6" w:rsidP="00EF47C6">
            <w:pPr>
              <w:pStyle w:val="TABLES"/>
              <w:jc w:val="right"/>
              <w:rPr>
                <w:b w:val="0"/>
                <w:bCs/>
                <w:color w:val="auto"/>
              </w:rPr>
            </w:pPr>
            <w:r w:rsidRPr="00CE1A25">
              <w:rPr>
                <w:b w:val="0"/>
                <w:bCs/>
                <w:color w:val="auto"/>
              </w:rPr>
              <w:t>56%</w:t>
            </w:r>
          </w:p>
        </w:tc>
      </w:tr>
      <w:tr w:rsidR="00CE1A25" w:rsidRPr="00CE1A25" w14:paraId="14DBE5A7" w14:textId="77777777" w:rsidTr="007C03C4">
        <w:tc>
          <w:tcPr>
            <w:tcW w:w="2288" w:type="dxa"/>
          </w:tcPr>
          <w:p w14:paraId="4A75E3A6" w14:textId="77777777" w:rsidR="001E6DA6" w:rsidRPr="00CE1A25" w:rsidRDefault="001E6DA6" w:rsidP="001E6DA6">
            <w:pPr>
              <w:pStyle w:val="TABLES"/>
              <w:rPr>
                <w:b w:val="0"/>
                <w:bCs/>
                <w:color w:val="auto"/>
              </w:rPr>
            </w:pPr>
          </w:p>
        </w:tc>
        <w:tc>
          <w:tcPr>
            <w:tcW w:w="1584" w:type="dxa"/>
          </w:tcPr>
          <w:p w14:paraId="27AB21EF" w14:textId="77777777" w:rsidR="001E6DA6" w:rsidRPr="00CE1A25" w:rsidRDefault="001E6DA6" w:rsidP="00467E17">
            <w:pPr>
              <w:pStyle w:val="TABLES"/>
              <w:jc w:val="right"/>
              <w:rPr>
                <w:b w:val="0"/>
                <w:bCs/>
                <w:color w:val="auto"/>
              </w:rPr>
            </w:pPr>
          </w:p>
        </w:tc>
        <w:tc>
          <w:tcPr>
            <w:tcW w:w="1555" w:type="dxa"/>
          </w:tcPr>
          <w:p w14:paraId="6B41A45D" w14:textId="77777777" w:rsidR="001E6DA6" w:rsidRPr="00CE1A25" w:rsidRDefault="001E6DA6" w:rsidP="00467E17">
            <w:pPr>
              <w:pStyle w:val="TABLES"/>
              <w:jc w:val="right"/>
              <w:rPr>
                <w:b w:val="0"/>
                <w:bCs/>
                <w:color w:val="auto"/>
              </w:rPr>
            </w:pPr>
          </w:p>
        </w:tc>
        <w:tc>
          <w:tcPr>
            <w:tcW w:w="2096" w:type="dxa"/>
          </w:tcPr>
          <w:p w14:paraId="504B7C1F" w14:textId="77777777" w:rsidR="001E6DA6" w:rsidRPr="00CE1A25" w:rsidRDefault="001E6DA6" w:rsidP="00467E17">
            <w:pPr>
              <w:pStyle w:val="TABLES"/>
              <w:jc w:val="right"/>
              <w:rPr>
                <w:b w:val="0"/>
                <w:bCs/>
                <w:color w:val="auto"/>
              </w:rPr>
            </w:pPr>
          </w:p>
        </w:tc>
        <w:tc>
          <w:tcPr>
            <w:tcW w:w="3102" w:type="dxa"/>
          </w:tcPr>
          <w:p w14:paraId="7AE5804F" w14:textId="77777777" w:rsidR="001E6DA6" w:rsidRPr="00CE1A25" w:rsidRDefault="001E6DA6" w:rsidP="00467E17">
            <w:pPr>
              <w:pStyle w:val="TABLES"/>
              <w:jc w:val="right"/>
              <w:rPr>
                <w:b w:val="0"/>
                <w:bCs/>
                <w:color w:val="auto"/>
              </w:rPr>
            </w:pPr>
          </w:p>
        </w:tc>
        <w:tc>
          <w:tcPr>
            <w:tcW w:w="1419" w:type="dxa"/>
          </w:tcPr>
          <w:p w14:paraId="517848BD" w14:textId="77777777" w:rsidR="001E6DA6" w:rsidRPr="00CE1A25" w:rsidRDefault="001E6DA6" w:rsidP="00467E17">
            <w:pPr>
              <w:pStyle w:val="TABLES"/>
              <w:jc w:val="right"/>
              <w:rPr>
                <w:b w:val="0"/>
                <w:bCs/>
                <w:color w:val="auto"/>
              </w:rPr>
            </w:pPr>
          </w:p>
        </w:tc>
        <w:tc>
          <w:tcPr>
            <w:tcW w:w="1904" w:type="dxa"/>
          </w:tcPr>
          <w:p w14:paraId="0E8B6630" w14:textId="77777777" w:rsidR="001E6DA6" w:rsidRPr="00CE1A25" w:rsidRDefault="001E6DA6" w:rsidP="00467E17">
            <w:pPr>
              <w:pStyle w:val="TABLES"/>
              <w:jc w:val="right"/>
              <w:rPr>
                <w:b w:val="0"/>
                <w:bCs/>
                <w:color w:val="auto"/>
              </w:rPr>
            </w:pPr>
          </w:p>
        </w:tc>
      </w:tr>
      <w:tr w:rsidR="00CE1A25" w:rsidRPr="00CE1A25" w14:paraId="190BB7DB" w14:textId="77777777" w:rsidTr="007C03C4">
        <w:tc>
          <w:tcPr>
            <w:tcW w:w="2288" w:type="dxa"/>
          </w:tcPr>
          <w:p w14:paraId="53060392" w14:textId="52D0D242" w:rsidR="001E6DA6" w:rsidRPr="00CE1A25" w:rsidRDefault="001E6DA6" w:rsidP="001E6DA6">
            <w:pPr>
              <w:pStyle w:val="TABLES"/>
              <w:rPr>
                <w:b w:val="0"/>
                <w:bCs/>
                <w:color w:val="auto"/>
              </w:rPr>
            </w:pPr>
            <w:r w:rsidRPr="00CE1A25">
              <w:rPr>
                <w:b w:val="0"/>
                <w:bCs/>
                <w:color w:val="auto"/>
              </w:rPr>
              <w:t>Residential homes (65+)</w:t>
            </w:r>
          </w:p>
        </w:tc>
        <w:tc>
          <w:tcPr>
            <w:tcW w:w="1584" w:type="dxa"/>
          </w:tcPr>
          <w:p w14:paraId="28C3D1F4" w14:textId="06DA8C71" w:rsidR="001E6DA6" w:rsidRPr="00CE1A25" w:rsidRDefault="00572731" w:rsidP="00467E17">
            <w:pPr>
              <w:pStyle w:val="TABLES"/>
              <w:jc w:val="right"/>
              <w:rPr>
                <w:b w:val="0"/>
                <w:bCs/>
                <w:color w:val="auto"/>
              </w:rPr>
            </w:pPr>
            <w:r>
              <w:rPr>
                <w:b w:val="0"/>
                <w:bCs/>
                <w:color w:val="auto"/>
              </w:rPr>
              <w:t>787.54</w:t>
            </w:r>
          </w:p>
        </w:tc>
        <w:tc>
          <w:tcPr>
            <w:tcW w:w="1555" w:type="dxa"/>
          </w:tcPr>
          <w:p w14:paraId="7B5A5647" w14:textId="4990BEEA" w:rsidR="001E6DA6" w:rsidRPr="00CE1A25" w:rsidRDefault="000111FF" w:rsidP="00467E17">
            <w:pPr>
              <w:pStyle w:val="TABLES"/>
              <w:jc w:val="right"/>
              <w:rPr>
                <w:b w:val="0"/>
                <w:bCs/>
                <w:color w:val="auto"/>
              </w:rPr>
            </w:pPr>
            <w:r w:rsidRPr="00CE1A25">
              <w:rPr>
                <w:b w:val="0"/>
                <w:bCs/>
                <w:color w:val="auto"/>
              </w:rPr>
              <w:t>80</w:t>
            </w:r>
            <w:r w:rsidR="00572731">
              <w:rPr>
                <w:b w:val="0"/>
                <w:bCs/>
                <w:color w:val="auto"/>
              </w:rPr>
              <w:t>6.06</w:t>
            </w:r>
          </w:p>
        </w:tc>
        <w:tc>
          <w:tcPr>
            <w:tcW w:w="2096" w:type="dxa"/>
          </w:tcPr>
          <w:p w14:paraId="53ACDD6C" w14:textId="0C2D78EA" w:rsidR="001E6DA6" w:rsidRPr="00CE1A25" w:rsidRDefault="000111FF" w:rsidP="00467E17">
            <w:pPr>
              <w:pStyle w:val="TABLES"/>
              <w:jc w:val="right"/>
              <w:rPr>
                <w:b w:val="0"/>
                <w:bCs/>
                <w:color w:val="auto"/>
              </w:rPr>
            </w:pPr>
            <w:r w:rsidRPr="00CE1A25">
              <w:rPr>
                <w:b w:val="0"/>
                <w:bCs/>
                <w:color w:val="auto"/>
              </w:rPr>
              <w:t>19</w:t>
            </w:r>
          </w:p>
        </w:tc>
        <w:tc>
          <w:tcPr>
            <w:tcW w:w="3102" w:type="dxa"/>
          </w:tcPr>
          <w:p w14:paraId="29B76D59" w14:textId="566BE45D" w:rsidR="001E6DA6" w:rsidRPr="00CE1A25" w:rsidRDefault="000111FF" w:rsidP="00467E17">
            <w:pPr>
              <w:pStyle w:val="TABLES"/>
              <w:jc w:val="right"/>
              <w:rPr>
                <w:b w:val="0"/>
                <w:bCs/>
                <w:color w:val="auto"/>
              </w:rPr>
            </w:pPr>
            <w:r w:rsidRPr="00CE1A25">
              <w:rPr>
                <w:b w:val="0"/>
                <w:bCs/>
                <w:color w:val="auto"/>
              </w:rPr>
              <w:t>2</w:t>
            </w:r>
          </w:p>
        </w:tc>
        <w:tc>
          <w:tcPr>
            <w:tcW w:w="1419" w:type="dxa"/>
          </w:tcPr>
          <w:p w14:paraId="7CEAC57F" w14:textId="4E3B4A8B" w:rsidR="001E6DA6" w:rsidRPr="00CE1A25" w:rsidRDefault="00EF47C6" w:rsidP="00467E17">
            <w:pPr>
              <w:pStyle w:val="TABLES"/>
              <w:jc w:val="right"/>
              <w:rPr>
                <w:b w:val="0"/>
                <w:bCs/>
                <w:color w:val="auto"/>
              </w:rPr>
            </w:pPr>
            <w:r w:rsidRPr="00CE1A25">
              <w:rPr>
                <w:b w:val="0"/>
                <w:bCs/>
                <w:color w:val="auto"/>
              </w:rPr>
              <w:t>34</w:t>
            </w:r>
          </w:p>
        </w:tc>
        <w:tc>
          <w:tcPr>
            <w:tcW w:w="1904" w:type="dxa"/>
          </w:tcPr>
          <w:p w14:paraId="55A794FE" w14:textId="7B70887D" w:rsidR="001E6DA6" w:rsidRPr="00CE1A25" w:rsidRDefault="00EF47C6" w:rsidP="00467E17">
            <w:pPr>
              <w:pStyle w:val="TABLES"/>
              <w:jc w:val="right"/>
              <w:rPr>
                <w:b w:val="0"/>
                <w:bCs/>
                <w:color w:val="auto"/>
              </w:rPr>
            </w:pPr>
            <w:r w:rsidRPr="00CE1A25">
              <w:rPr>
                <w:b w:val="0"/>
                <w:bCs/>
                <w:color w:val="auto"/>
              </w:rPr>
              <w:t>62%</w:t>
            </w:r>
          </w:p>
        </w:tc>
      </w:tr>
      <w:tr w:rsidR="00CE1A25" w:rsidRPr="00CE1A25" w14:paraId="428C51B1" w14:textId="77777777" w:rsidTr="009D4C58">
        <w:tc>
          <w:tcPr>
            <w:tcW w:w="13948" w:type="dxa"/>
            <w:gridSpan w:val="7"/>
          </w:tcPr>
          <w:p w14:paraId="3EE8770E" w14:textId="77777777" w:rsidR="00322391" w:rsidRPr="00CE1A25" w:rsidRDefault="00322391" w:rsidP="00322391">
            <w:pPr>
              <w:spacing w:line="280" w:lineRule="exact"/>
              <w:jc w:val="both"/>
              <w:rPr>
                <w:color w:val="auto"/>
                <w:sz w:val="20"/>
                <w:szCs w:val="20"/>
              </w:rPr>
            </w:pPr>
            <w:r w:rsidRPr="00CE1A25">
              <w:rPr>
                <w:color w:val="auto"/>
                <w:sz w:val="20"/>
                <w:szCs w:val="20"/>
              </w:rPr>
              <w:t>The calculated values incorporate the following council-determined benchmarks, which supersede median values from toolkit responses:</w:t>
            </w:r>
          </w:p>
          <w:p w14:paraId="04F16F88" w14:textId="3CB53816" w:rsidR="00322391" w:rsidRPr="00CE1A25" w:rsidRDefault="00322391" w:rsidP="00322391">
            <w:pPr>
              <w:pStyle w:val="TABLES"/>
              <w:numPr>
                <w:ilvl w:val="0"/>
                <w:numId w:val="20"/>
              </w:numPr>
              <w:rPr>
                <w:b w:val="0"/>
                <w:bCs/>
                <w:color w:val="auto"/>
                <w:sz w:val="20"/>
                <w:vertAlign w:val="superscript"/>
              </w:rPr>
            </w:pPr>
            <w:r w:rsidRPr="00CE1A25">
              <w:rPr>
                <w:b w:val="0"/>
                <w:bCs/>
                <w:color w:val="auto"/>
                <w:sz w:val="20"/>
              </w:rPr>
              <w:t xml:space="preserve">Return on capital </w:t>
            </w:r>
            <w:r w:rsidRPr="00CE1A25">
              <w:rPr>
                <w:b w:val="0"/>
                <w:bCs/>
                <w:color w:val="auto"/>
                <w:sz w:val="20"/>
              </w:rPr>
              <w:tab/>
            </w:r>
            <w:r w:rsidRPr="00CE1A25">
              <w:rPr>
                <w:b w:val="0"/>
                <w:bCs/>
                <w:color w:val="auto"/>
                <w:sz w:val="20"/>
              </w:rPr>
              <w:tab/>
            </w:r>
            <w:r w:rsidRPr="00CE1A25">
              <w:rPr>
                <w:b w:val="0"/>
                <w:bCs/>
                <w:color w:val="auto"/>
                <w:sz w:val="20"/>
              </w:rPr>
              <w:tab/>
              <w:t xml:space="preserve">6% pa applied to median freehold valuation per resident </w:t>
            </w:r>
            <w:r w:rsidRPr="00CE1A25">
              <w:rPr>
                <w:b w:val="0"/>
                <w:bCs/>
                <w:color w:val="auto"/>
                <w:sz w:val="20"/>
                <w:vertAlign w:val="superscript"/>
              </w:rPr>
              <w:t>2</w:t>
            </w:r>
          </w:p>
          <w:p w14:paraId="3743E3F0" w14:textId="0E3B806F" w:rsidR="00322391" w:rsidRPr="00CE1A25" w:rsidRDefault="00322391" w:rsidP="00322391">
            <w:pPr>
              <w:pStyle w:val="TABLES"/>
              <w:numPr>
                <w:ilvl w:val="0"/>
                <w:numId w:val="20"/>
              </w:numPr>
              <w:rPr>
                <w:b w:val="0"/>
                <w:bCs/>
                <w:color w:val="auto"/>
              </w:rPr>
            </w:pPr>
            <w:r w:rsidRPr="00CE1A25">
              <w:rPr>
                <w:b w:val="0"/>
                <w:bCs/>
                <w:color w:val="auto"/>
                <w:sz w:val="20"/>
              </w:rPr>
              <w:t>Return on operations</w:t>
            </w:r>
            <w:r w:rsidRPr="00CE1A25">
              <w:rPr>
                <w:b w:val="0"/>
                <w:bCs/>
                <w:color w:val="auto"/>
                <w:sz w:val="20"/>
              </w:rPr>
              <w:tab/>
            </w:r>
            <w:r w:rsidRPr="00CE1A25">
              <w:rPr>
                <w:b w:val="0"/>
                <w:bCs/>
                <w:color w:val="auto"/>
                <w:sz w:val="20"/>
              </w:rPr>
              <w:tab/>
            </w:r>
            <w:r w:rsidRPr="00CE1A25">
              <w:rPr>
                <w:b w:val="0"/>
                <w:bCs/>
                <w:color w:val="auto"/>
                <w:sz w:val="20"/>
              </w:rPr>
              <w:tab/>
              <w:t>10% mark-up on median operating costs derived from validated toolkit responses</w:t>
            </w:r>
          </w:p>
        </w:tc>
      </w:tr>
    </w:tbl>
    <w:p w14:paraId="5F7F4985" w14:textId="29EAB6A6" w:rsidR="00A97CAE" w:rsidRPr="00CE1A25" w:rsidRDefault="006C3538" w:rsidP="00A97CAE">
      <w:pPr>
        <w:spacing w:after="0" w:line="280" w:lineRule="exact"/>
        <w:jc w:val="both"/>
        <w:rPr>
          <w:color w:val="auto"/>
          <w:sz w:val="18"/>
          <w:szCs w:val="18"/>
        </w:rPr>
      </w:pPr>
      <w:r w:rsidRPr="00CE1A25">
        <w:rPr>
          <w:color w:val="auto"/>
          <w:sz w:val="18"/>
          <w:szCs w:val="18"/>
          <w:vertAlign w:val="superscript"/>
        </w:rPr>
        <w:t xml:space="preserve">1 </w:t>
      </w:r>
      <w:r w:rsidRPr="00CE1A25">
        <w:rPr>
          <w:color w:val="auto"/>
          <w:sz w:val="18"/>
          <w:szCs w:val="18"/>
        </w:rPr>
        <w:t xml:space="preserve">Derived from Table </w:t>
      </w:r>
      <w:r w:rsidR="001D16C2" w:rsidRPr="00CE1A25">
        <w:rPr>
          <w:color w:val="auto"/>
          <w:sz w:val="18"/>
          <w:szCs w:val="18"/>
        </w:rPr>
        <w:t>4</w:t>
      </w:r>
    </w:p>
    <w:p w14:paraId="6E4448CD" w14:textId="4B819D4E" w:rsidR="003F4E5D" w:rsidRPr="00CE1A25" w:rsidRDefault="00727D81" w:rsidP="00182F79">
      <w:pPr>
        <w:spacing w:after="0" w:line="240" w:lineRule="auto"/>
        <w:jc w:val="both"/>
        <w:rPr>
          <w:color w:val="auto"/>
          <w:sz w:val="18"/>
          <w:szCs w:val="18"/>
        </w:rPr>
      </w:pPr>
      <w:r w:rsidRPr="00CE1A25">
        <w:rPr>
          <w:color w:val="auto"/>
          <w:vertAlign w:val="superscript"/>
        </w:rPr>
        <w:t>2</w:t>
      </w:r>
      <w:r w:rsidR="004E3F9F" w:rsidRPr="00CE1A25">
        <w:rPr>
          <w:color w:val="auto"/>
          <w:sz w:val="18"/>
          <w:szCs w:val="18"/>
        </w:rPr>
        <w:t xml:space="preserve"> </w:t>
      </w:r>
      <w:r w:rsidR="002E6950" w:rsidRPr="00CE1A25">
        <w:rPr>
          <w:color w:val="auto"/>
          <w:sz w:val="18"/>
          <w:szCs w:val="18"/>
        </w:rPr>
        <w:t>C</w:t>
      </w:r>
      <w:r w:rsidRPr="00CE1A25">
        <w:rPr>
          <w:color w:val="auto"/>
          <w:sz w:val="18"/>
          <w:szCs w:val="18"/>
        </w:rPr>
        <w:t xml:space="preserve">are home valuation per resident </w:t>
      </w:r>
      <w:r w:rsidR="008D4DD5" w:rsidRPr="00CE1A25">
        <w:rPr>
          <w:color w:val="auto"/>
          <w:sz w:val="18"/>
          <w:szCs w:val="18"/>
        </w:rPr>
        <w:t>may be</w:t>
      </w:r>
      <w:r w:rsidRPr="00CE1A25">
        <w:rPr>
          <w:color w:val="auto"/>
          <w:sz w:val="18"/>
          <w:szCs w:val="18"/>
        </w:rPr>
        <w:t xml:space="preserve"> capped</w:t>
      </w:r>
      <w:r w:rsidR="008D4DD5" w:rsidRPr="00CE1A25">
        <w:rPr>
          <w:color w:val="auto"/>
          <w:sz w:val="18"/>
          <w:szCs w:val="18"/>
        </w:rPr>
        <w:t xml:space="preserve"> to excludes costs of high specification assets aimed at the private pay market, see Section 2.1</w:t>
      </w:r>
      <w:r w:rsidR="00973CED" w:rsidRPr="00CE1A25">
        <w:rPr>
          <w:color w:val="auto"/>
          <w:sz w:val="18"/>
          <w:szCs w:val="18"/>
        </w:rPr>
        <w:t>1</w:t>
      </w:r>
      <w:r w:rsidR="008D4DD5" w:rsidRPr="00CE1A25">
        <w:rPr>
          <w:color w:val="auto"/>
          <w:sz w:val="18"/>
          <w:szCs w:val="18"/>
        </w:rPr>
        <w:t>.1.</w:t>
      </w:r>
    </w:p>
    <w:p w14:paraId="30FDFFE3" w14:textId="77777777" w:rsidR="00AC03D6" w:rsidRPr="00CE1A25" w:rsidRDefault="00AC03D6" w:rsidP="00B968A8">
      <w:pPr>
        <w:spacing w:after="0" w:line="280" w:lineRule="exact"/>
        <w:jc w:val="both"/>
        <w:rPr>
          <w:color w:val="auto"/>
        </w:rPr>
      </w:pPr>
    </w:p>
    <w:p w14:paraId="1BA7D4F9" w14:textId="404ECAF3" w:rsidR="006C757C" w:rsidRPr="00063160" w:rsidRDefault="006C757C" w:rsidP="00B968A8">
      <w:pPr>
        <w:pStyle w:val="Heading2"/>
        <w:spacing w:line="280" w:lineRule="exact"/>
        <w:ind w:right="0"/>
      </w:pPr>
      <w:bookmarkStart w:id="3" w:name="_Toc116555541"/>
      <w:r>
        <w:t>1.2 Response rates</w:t>
      </w:r>
      <w:bookmarkEnd w:id="3"/>
    </w:p>
    <w:p w14:paraId="051C5DED" w14:textId="47E2D996" w:rsidR="006C757C" w:rsidRDefault="006C757C" w:rsidP="00B968A8">
      <w:pPr>
        <w:spacing w:after="0" w:line="280" w:lineRule="exact"/>
        <w:jc w:val="both"/>
      </w:pPr>
    </w:p>
    <w:p w14:paraId="749CA35E" w14:textId="5FEA18C4" w:rsidR="008A766D" w:rsidRPr="00CE1A25" w:rsidRDefault="002C6B23" w:rsidP="00B968A8">
      <w:pPr>
        <w:spacing w:after="0" w:line="280" w:lineRule="exact"/>
        <w:jc w:val="both"/>
        <w:rPr>
          <w:color w:val="auto"/>
        </w:rPr>
      </w:pPr>
      <w:r w:rsidRPr="00B53ED7">
        <w:rPr>
          <w:color w:val="auto"/>
        </w:rPr>
        <w:t>T</w:t>
      </w:r>
      <w:r w:rsidR="00954778" w:rsidRPr="00B53ED7">
        <w:rPr>
          <w:color w:val="auto"/>
        </w:rPr>
        <w:t>he LaingBuisson</w:t>
      </w:r>
      <w:r w:rsidR="001D2241" w:rsidRPr="00B53ED7">
        <w:rPr>
          <w:color w:val="auto"/>
        </w:rPr>
        <w:t xml:space="preserve"> </w:t>
      </w:r>
      <w:r w:rsidR="00954778" w:rsidRPr="00B53ED7">
        <w:rPr>
          <w:color w:val="auto"/>
        </w:rPr>
        <w:t>team</w:t>
      </w:r>
      <w:r w:rsidR="007C03C4" w:rsidRPr="00B53ED7">
        <w:rPr>
          <w:color w:val="auto"/>
        </w:rPr>
        <w:t xml:space="preserve"> </w:t>
      </w:r>
      <w:r w:rsidR="00322391" w:rsidRPr="00B53ED7">
        <w:rPr>
          <w:color w:val="auto"/>
        </w:rPr>
        <w:t xml:space="preserve">fully </w:t>
      </w:r>
      <w:r w:rsidR="001D2241" w:rsidRPr="00B53ED7">
        <w:rPr>
          <w:color w:val="auto"/>
        </w:rPr>
        <w:t>validated</w:t>
      </w:r>
      <w:r w:rsidR="00EF47C6">
        <w:rPr>
          <w:color w:val="auto"/>
        </w:rPr>
        <w:t xml:space="preserve"> 38</w:t>
      </w:r>
      <w:r w:rsidR="00760341" w:rsidRPr="00B53ED7">
        <w:rPr>
          <w:color w:val="auto"/>
          <w:sz w:val="32"/>
        </w:rPr>
        <w:t xml:space="preserve"> </w:t>
      </w:r>
      <w:r w:rsidR="001D2241" w:rsidRPr="00B53ED7">
        <w:rPr>
          <w:color w:val="auto"/>
        </w:rPr>
        <w:t xml:space="preserve">toolkit submissions </w:t>
      </w:r>
      <w:r w:rsidR="00760341" w:rsidRPr="00B53ED7">
        <w:rPr>
          <w:color w:val="auto"/>
        </w:rPr>
        <w:t>and partially validate</w:t>
      </w:r>
      <w:r w:rsidR="00EF47C6">
        <w:rPr>
          <w:color w:val="auto"/>
        </w:rPr>
        <w:t>d 3</w:t>
      </w:r>
      <w:r w:rsidR="003C5F0D" w:rsidRPr="00B53ED7">
        <w:rPr>
          <w:color w:val="auto"/>
        </w:rPr>
        <w:t xml:space="preserve"> </w:t>
      </w:r>
      <w:r w:rsidR="00967DB3" w:rsidRPr="00B53ED7">
        <w:rPr>
          <w:color w:val="auto"/>
        </w:rPr>
        <w:t xml:space="preserve">toolkit </w:t>
      </w:r>
      <w:r w:rsidR="007C03C4" w:rsidRPr="00B53ED7">
        <w:rPr>
          <w:color w:val="auto"/>
        </w:rPr>
        <w:t xml:space="preserve">submissions, the latter being </w:t>
      </w:r>
      <w:r w:rsidR="00967DB3" w:rsidRPr="00B53ED7">
        <w:rPr>
          <w:color w:val="auto"/>
        </w:rPr>
        <w:t>those</w:t>
      </w:r>
      <w:r w:rsidR="007C03C4" w:rsidRPr="00B53ED7">
        <w:rPr>
          <w:color w:val="auto"/>
        </w:rPr>
        <w:t xml:space="preserve"> </w:t>
      </w:r>
      <w:r w:rsidR="00967DB3" w:rsidRPr="00B53ED7">
        <w:rPr>
          <w:color w:val="auto"/>
        </w:rPr>
        <w:t>for</w:t>
      </w:r>
      <w:r w:rsidR="007C03C4" w:rsidRPr="00B53ED7">
        <w:rPr>
          <w:color w:val="auto"/>
        </w:rPr>
        <w:t xml:space="preserve"> which one or more (but not all) of the cost lines had been validated. Adding </w:t>
      </w:r>
      <w:r w:rsidR="0056466D" w:rsidRPr="00B53ED7">
        <w:rPr>
          <w:color w:val="auto"/>
        </w:rPr>
        <w:t>these</w:t>
      </w:r>
      <w:r w:rsidR="007C03C4" w:rsidRPr="00B53ED7">
        <w:rPr>
          <w:color w:val="auto"/>
        </w:rPr>
        <w:t xml:space="preserve"> together, </w:t>
      </w:r>
      <w:r w:rsidR="00967DB3" w:rsidRPr="00B53ED7">
        <w:rPr>
          <w:color w:val="auto"/>
        </w:rPr>
        <w:t>the</w:t>
      </w:r>
      <w:r w:rsidR="00EF47C6">
        <w:rPr>
          <w:color w:val="auto"/>
        </w:rPr>
        <w:t xml:space="preserve"> 41</w:t>
      </w:r>
      <w:r w:rsidR="00967DB3" w:rsidRPr="00B53ED7">
        <w:rPr>
          <w:color w:val="auto"/>
          <w:sz w:val="32"/>
        </w:rPr>
        <w:t xml:space="preserve"> </w:t>
      </w:r>
      <w:r w:rsidR="00967DB3" w:rsidRPr="00B53ED7">
        <w:rPr>
          <w:color w:val="auto"/>
        </w:rPr>
        <w:t>fully or partially validated toolkits r</w:t>
      </w:r>
      <w:r w:rsidR="001D2241" w:rsidRPr="00B53ED7">
        <w:rPr>
          <w:color w:val="auto"/>
        </w:rPr>
        <w:t>epresent</w:t>
      </w:r>
      <w:r w:rsidR="00967DB3" w:rsidRPr="00B53ED7">
        <w:rPr>
          <w:color w:val="auto"/>
        </w:rPr>
        <w:t>s a response rate of</w:t>
      </w:r>
      <w:r w:rsidR="00EF47C6">
        <w:rPr>
          <w:color w:val="auto"/>
        </w:rPr>
        <w:t xml:space="preserve"> 59</w:t>
      </w:r>
      <w:r w:rsidR="006C757C" w:rsidRPr="00B53ED7">
        <w:rPr>
          <w:color w:val="auto"/>
        </w:rPr>
        <w:t xml:space="preserve">% of </w:t>
      </w:r>
      <w:r w:rsidR="006C757C" w:rsidRPr="00CE1A25">
        <w:rPr>
          <w:color w:val="auto"/>
        </w:rPr>
        <w:lastRenderedPageBreak/>
        <w:t xml:space="preserve">care homes </w:t>
      </w:r>
      <w:r w:rsidR="00A72D92" w:rsidRPr="00CE1A25">
        <w:rPr>
          <w:color w:val="auto"/>
        </w:rPr>
        <w:t>in scope</w:t>
      </w:r>
      <w:r w:rsidR="00B53ED7" w:rsidRPr="00CE1A25">
        <w:rPr>
          <w:color w:val="auto"/>
        </w:rPr>
        <w:t xml:space="preserve"> </w:t>
      </w:r>
      <w:r w:rsidR="00EF47C6" w:rsidRPr="00CE1A25">
        <w:rPr>
          <w:color w:val="auto"/>
        </w:rPr>
        <w:t>(56</w:t>
      </w:r>
      <w:r w:rsidR="00B53ED7" w:rsidRPr="00CE1A25">
        <w:rPr>
          <w:color w:val="auto"/>
        </w:rPr>
        <w:t>% for nursing homes and</w:t>
      </w:r>
      <w:r w:rsidR="00EF47C6" w:rsidRPr="00CE1A25">
        <w:rPr>
          <w:color w:val="auto"/>
        </w:rPr>
        <w:t xml:space="preserve"> 62</w:t>
      </w:r>
      <w:r w:rsidR="00B53ED7" w:rsidRPr="00CE1A25">
        <w:rPr>
          <w:color w:val="auto"/>
        </w:rPr>
        <w:t>% for residential homes).</w:t>
      </w:r>
      <w:r w:rsidR="007C03C4" w:rsidRPr="00CE1A25">
        <w:rPr>
          <w:color w:val="auto"/>
        </w:rPr>
        <w:t xml:space="preserve"> </w:t>
      </w:r>
      <w:r w:rsidR="00322391" w:rsidRPr="00CE1A25">
        <w:rPr>
          <w:color w:val="auto"/>
        </w:rPr>
        <w:t xml:space="preserve"> </w:t>
      </w:r>
      <w:r w:rsidR="00967DB3" w:rsidRPr="00CE1A25">
        <w:rPr>
          <w:color w:val="auto"/>
        </w:rPr>
        <w:t xml:space="preserve">For some individual cost lines the effective response rate was higher and for </w:t>
      </w:r>
      <w:r w:rsidR="0056466D" w:rsidRPr="00CE1A25">
        <w:rPr>
          <w:color w:val="auto"/>
        </w:rPr>
        <w:t>others</w:t>
      </w:r>
      <w:r w:rsidR="00967DB3" w:rsidRPr="00CE1A25">
        <w:rPr>
          <w:color w:val="auto"/>
        </w:rPr>
        <w:t xml:space="preserve"> it was lower</w:t>
      </w:r>
      <w:r w:rsidR="0012073D" w:rsidRPr="00CE1A25">
        <w:rPr>
          <w:color w:val="auto"/>
        </w:rPr>
        <w:t xml:space="preserve">, </w:t>
      </w:r>
      <w:r w:rsidR="00967DB3" w:rsidRPr="00CE1A25">
        <w:rPr>
          <w:color w:val="auto"/>
        </w:rPr>
        <w:t xml:space="preserve">see Table 4 for the number of respondents (in brackets) for each individual cost line. </w:t>
      </w:r>
    </w:p>
    <w:p w14:paraId="46F60522" w14:textId="77777777" w:rsidR="008A766D" w:rsidRPr="00CE1A25" w:rsidRDefault="008A766D" w:rsidP="00B968A8">
      <w:pPr>
        <w:spacing w:after="0" w:line="280" w:lineRule="exact"/>
        <w:jc w:val="both"/>
        <w:rPr>
          <w:color w:val="auto"/>
        </w:rPr>
      </w:pPr>
    </w:p>
    <w:p w14:paraId="64C22B21" w14:textId="7DFFE660" w:rsidR="006C757C" w:rsidRPr="00CE1A25" w:rsidRDefault="002D3B83" w:rsidP="00B968A8">
      <w:pPr>
        <w:spacing w:after="0" w:line="280" w:lineRule="exact"/>
        <w:jc w:val="both"/>
        <w:rPr>
          <w:color w:val="auto"/>
        </w:rPr>
      </w:pPr>
      <w:bookmarkStart w:id="4" w:name="_Hlk114482645"/>
      <w:r w:rsidRPr="00CE1A25">
        <w:rPr>
          <w:color w:val="auto"/>
        </w:rPr>
        <w:t xml:space="preserve">The overall validated </w:t>
      </w:r>
      <w:bookmarkStart w:id="5" w:name="_Hlk115509344"/>
      <w:r w:rsidR="00B53ED7" w:rsidRPr="00CE1A25">
        <w:rPr>
          <w:color w:val="auto"/>
        </w:rPr>
        <w:t xml:space="preserve">and partially validated </w:t>
      </w:r>
      <w:bookmarkEnd w:id="5"/>
      <w:r w:rsidRPr="00CE1A25">
        <w:rPr>
          <w:color w:val="auto"/>
        </w:rPr>
        <w:t xml:space="preserve">response rate was </w:t>
      </w:r>
      <w:r w:rsidR="00F7086E" w:rsidRPr="00CE1A25">
        <w:rPr>
          <w:color w:val="auto"/>
        </w:rPr>
        <w:t>higher</w:t>
      </w:r>
      <w:r w:rsidRPr="00CE1A25">
        <w:rPr>
          <w:color w:val="auto"/>
        </w:rPr>
        <w:t xml:space="preserve"> than th</w:t>
      </w:r>
      <w:r w:rsidR="001B54C8" w:rsidRPr="00CE1A25">
        <w:rPr>
          <w:color w:val="auto"/>
        </w:rPr>
        <w:t>e 32%</w:t>
      </w:r>
      <w:r w:rsidR="001B54C8" w:rsidRPr="00CE1A25">
        <w:rPr>
          <w:rStyle w:val="FootnoteReference"/>
          <w:color w:val="auto"/>
        </w:rPr>
        <w:footnoteReference w:id="3"/>
      </w:r>
      <w:r w:rsidRPr="00CE1A25">
        <w:rPr>
          <w:color w:val="auto"/>
        </w:rPr>
        <w:t xml:space="preserve"> achieved </w:t>
      </w:r>
      <w:r w:rsidR="00382ADD" w:rsidRPr="00CE1A25">
        <w:rPr>
          <w:color w:val="auto"/>
        </w:rPr>
        <w:t>across all local authorities in England in the summer 2022 FCoC exercise. S</w:t>
      </w:r>
      <w:r w:rsidRPr="00CE1A25">
        <w:rPr>
          <w:color w:val="auto"/>
        </w:rPr>
        <w:t>ee Section 2.7 for contributory factors</w:t>
      </w:r>
      <w:r w:rsidR="00382ADD" w:rsidRPr="00CE1A25">
        <w:rPr>
          <w:color w:val="auto"/>
        </w:rPr>
        <w:t xml:space="preserve"> to non-response</w:t>
      </w:r>
      <w:r w:rsidRPr="00CE1A25">
        <w:rPr>
          <w:color w:val="auto"/>
        </w:rPr>
        <w:t xml:space="preserve">. </w:t>
      </w:r>
    </w:p>
    <w:bookmarkEnd w:id="4"/>
    <w:p w14:paraId="3AAB09F9" w14:textId="77777777" w:rsidR="00543854" w:rsidRDefault="00543854" w:rsidP="00B968A8">
      <w:pPr>
        <w:spacing w:after="0" w:line="280" w:lineRule="exact"/>
        <w:jc w:val="both"/>
      </w:pPr>
    </w:p>
    <w:p w14:paraId="00A08DF0" w14:textId="53C1E90F" w:rsidR="00220798" w:rsidRPr="00063160" w:rsidRDefault="00220798" w:rsidP="00B968A8">
      <w:pPr>
        <w:pStyle w:val="Heading2"/>
        <w:spacing w:line="280" w:lineRule="exact"/>
        <w:ind w:right="0"/>
      </w:pPr>
      <w:bookmarkStart w:id="7" w:name="_Toc116555542"/>
      <w:r>
        <w:t>1.</w:t>
      </w:r>
      <w:r w:rsidR="006C757C">
        <w:t>3</w:t>
      </w:r>
      <w:r>
        <w:t xml:space="preserve"> </w:t>
      </w:r>
      <w:r w:rsidR="00543854">
        <w:t>Methodology - validation, correction of anomalies</w:t>
      </w:r>
      <w:r w:rsidR="00AC6397">
        <w:t>,</w:t>
      </w:r>
      <w:r w:rsidR="00543854">
        <w:t xml:space="preserve"> o</w:t>
      </w:r>
      <w:r>
        <w:t>utlier exclusions</w:t>
      </w:r>
      <w:r w:rsidR="00543854">
        <w:t xml:space="preserve"> and calculation of medians</w:t>
      </w:r>
      <w:bookmarkEnd w:id="7"/>
    </w:p>
    <w:p w14:paraId="6D44BA00" w14:textId="6FA33A4E" w:rsidR="00220798" w:rsidRDefault="00220798" w:rsidP="00B968A8">
      <w:pPr>
        <w:spacing w:after="0" w:line="280" w:lineRule="exact"/>
        <w:jc w:val="both"/>
      </w:pPr>
    </w:p>
    <w:p w14:paraId="17DD75B4" w14:textId="192FE988" w:rsidR="00FD22B3" w:rsidRPr="00F76BE0" w:rsidRDefault="00AE1052" w:rsidP="00B968A8">
      <w:pPr>
        <w:spacing w:after="0" w:line="280" w:lineRule="exact"/>
        <w:jc w:val="both"/>
        <w:rPr>
          <w:color w:val="auto"/>
        </w:rPr>
      </w:pPr>
      <w:r>
        <w:rPr>
          <w:color w:val="auto"/>
        </w:rPr>
        <w:t>The methodology for calculating median costs from the submitted toolkits is</w:t>
      </w:r>
      <w:r w:rsidR="00D2242F">
        <w:rPr>
          <w:color w:val="auto"/>
        </w:rPr>
        <w:t xml:space="preserve"> described in</w:t>
      </w:r>
      <w:r w:rsidR="00F76BE0" w:rsidRPr="00F76BE0">
        <w:rPr>
          <w:color w:val="auto"/>
        </w:rPr>
        <w:t xml:space="preserve"> </w:t>
      </w:r>
      <w:r w:rsidR="00F76BE0">
        <w:rPr>
          <w:color w:val="auto"/>
        </w:rPr>
        <w:t>Section</w:t>
      </w:r>
      <w:r>
        <w:rPr>
          <w:color w:val="auto"/>
        </w:rPr>
        <w:t>s</w:t>
      </w:r>
      <w:r w:rsidR="00F76BE0">
        <w:rPr>
          <w:color w:val="auto"/>
        </w:rPr>
        <w:t xml:space="preserve"> 2.</w:t>
      </w:r>
      <w:r>
        <w:rPr>
          <w:color w:val="auto"/>
        </w:rPr>
        <w:t>4 to 2.</w:t>
      </w:r>
      <w:r w:rsidR="00DE302D">
        <w:rPr>
          <w:color w:val="auto"/>
        </w:rPr>
        <w:t>6</w:t>
      </w:r>
      <w:r w:rsidR="00F76BE0">
        <w:rPr>
          <w:color w:val="auto"/>
        </w:rPr>
        <w:t>.</w:t>
      </w:r>
    </w:p>
    <w:p w14:paraId="6AFBE7AD" w14:textId="77777777" w:rsidR="00220798" w:rsidRDefault="00220798" w:rsidP="00B968A8">
      <w:pPr>
        <w:spacing w:after="0" w:line="280" w:lineRule="exact"/>
        <w:jc w:val="both"/>
      </w:pPr>
    </w:p>
    <w:p w14:paraId="4D3F3CF6" w14:textId="7538613D" w:rsidR="003F4E5D" w:rsidRPr="00063160" w:rsidRDefault="003F4E5D" w:rsidP="00B968A8">
      <w:pPr>
        <w:pStyle w:val="Heading2"/>
        <w:spacing w:line="280" w:lineRule="exact"/>
        <w:ind w:right="0"/>
      </w:pPr>
      <w:bookmarkStart w:id="8" w:name="_Toc116555543"/>
      <w:r>
        <w:t>1.</w:t>
      </w:r>
      <w:r w:rsidR="006C757C">
        <w:t>4</w:t>
      </w:r>
      <w:r>
        <w:t xml:space="preserve"> </w:t>
      </w:r>
      <w:r w:rsidR="00C46D74">
        <w:t>S</w:t>
      </w:r>
      <w:r>
        <w:t xml:space="preserve">ensitivity </w:t>
      </w:r>
      <w:r w:rsidR="00DB37EF">
        <w:t>analysis</w:t>
      </w:r>
      <w:bookmarkEnd w:id="8"/>
    </w:p>
    <w:p w14:paraId="2CA9F82F" w14:textId="77777777" w:rsidR="003F4E5D" w:rsidRDefault="003F4E5D" w:rsidP="00B968A8">
      <w:pPr>
        <w:spacing w:after="0" w:line="280" w:lineRule="exact"/>
        <w:jc w:val="both"/>
      </w:pPr>
    </w:p>
    <w:p w14:paraId="088C6CCB" w14:textId="0D76642A" w:rsidR="00DE04C1" w:rsidRPr="00CE1A25" w:rsidRDefault="00DE04C1" w:rsidP="00DE04C1">
      <w:pPr>
        <w:spacing w:line="280" w:lineRule="exact"/>
        <w:jc w:val="both"/>
        <w:rPr>
          <w:color w:val="auto"/>
        </w:rPr>
      </w:pPr>
      <w:bookmarkStart w:id="9" w:name="_Hlk114505132"/>
      <w:bookmarkStart w:id="10" w:name="_Hlk114504986"/>
      <w:r w:rsidRPr="00CE1A25">
        <w:rPr>
          <w:color w:val="auto"/>
        </w:rPr>
        <w:t xml:space="preserve">The median total costs </w:t>
      </w:r>
      <w:r w:rsidR="001C50E2" w:rsidRPr="00CE1A25">
        <w:rPr>
          <w:color w:val="auto"/>
        </w:rPr>
        <w:t xml:space="preserve">summarised in Table 1 and broken down by cost line </w:t>
      </w:r>
      <w:r w:rsidRPr="00CE1A25">
        <w:rPr>
          <w:color w:val="auto"/>
        </w:rPr>
        <w:t>in Table</w:t>
      </w:r>
      <w:r w:rsidR="001C50E2" w:rsidRPr="00CE1A25">
        <w:rPr>
          <w:color w:val="auto"/>
        </w:rPr>
        <w:t xml:space="preserve"> </w:t>
      </w:r>
      <w:r w:rsidRPr="00CE1A25">
        <w:rPr>
          <w:color w:val="auto"/>
        </w:rPr>
        <w:t>4 are sensitive to the following factors, see Section 2.11:</w:t>
      </w:r>
    </w:p>
    <w:p w14:paraId="0E365E99" w14:textId="77777777" w:rsidR="00DE04C1" w:rsidRPr="00CE1A25" w:rsidRDefault="00DE04C1" w:rsidP="00DE04C1">
      <w:pPr>
        <w:spacing w:after="0" w:line="280" w:lineRule="exact"/>
        <w:jc w:val="both"/>
        <w:rPr>
          <w:color w:val="auto"/>
        </w:rPr>
      </w:pPr>
    </w:p>
    <w:p w14:paraId="2EC2DEB5" w14:textId="11ED452D" w:rsidR="00DE04C1" w:rsidRPr="00CE1A25" w:rsidRDefault="00DE04C1" w:rsidP="001C50E2">
      <w:pPr>
        <w:pStyle w:val="ListParagraph"/>
        <w:numPr>
          <w:ilvl w:val="0"/>
          <w:numId w:val="20"/>
        </w:numPr>
        <w:spacing w:line="280" w:lineRule="exact"/>
        <w:jc w:val="both"/>
        <w:rPr>
          <w:color w:val="auto"/>
        </w:rPr>
      </w:pPr>
      <w:r w:rsidRPr="00CE1A25">
        <w:rPr>
          <w:color w:val="auto"/>
        </w:rPr>
        <w:t>The efficacy of the validation process in eliminating implausible and incorrect toolkit submissions for individual cost lines;</w:t>
      </w:r>
    </w:p>
    <w:p w14:paraId="2245C126" w14:textId="4FF0532D" w:rsidR="00DE04C1" w:rsidRPr="00CE1A25" w:rsidRDefault="00DE04C1" w:rsidP="001C50E2">
      <w:pPr>
        <w:pStyle w:val="ListParagraph"/>
        <w:numPr>
          <w:ilvl w:val="0"/>
          <w:numId w:val="20"/>
        </w:numPr>
        <w:spacing w:line="280" w:lineRule="exact"/>
        <w:jc w:val="both"/>
        <w:rPr>
          <w:color w:val="auto"/>
        </w:rPr>
      </w:pPr>
      <w:r w:rsidRPr="00CE1A25">
        <w:rPr>
          <w:color w:val="auto"/>
        </w:rPr>
        <w:t>The validity of the rules adopted for elimination of outliers before calculating the medians for each cost line;</w:t>
      </w:r>
    </w:p>
    <w:p w14:paraId="11E86B7E" w14:textId="311E4653" w:rsidR="00DE04C1" w:rsidRPr="00CE1A25" w:rsidRDefault="00DE04C1" w:rsidP="001C50E2">
      <w:pPr>
        <w:pStyle w:val="ListParagraph"/>
        <w:numPr>
          <w:ilvl w:val="0"/>
          <w:numId w:val="20"/>
        </w:numPr>
        <w:spacing w:line="280" w:lineRule="exact"/>
        <w:jc w:val="both"/>
        <w:rPr>
          <w:color w:val="auto"/>
        </w:rPr>
      </w:pPr>
      <w:r w:rsidRPr="00CE1A25">
        <w:rPr>
          <w:color w:val="auto"/>
        </w:rPr>
        <w:t>The return on capital and return on operations benchmarks;</w:t>
      </w:r>
    </w:p>
    <w:p w14:paraId="2157A02D" w14:textId="6D5DC93B" w:rsidR="00DE04C1" w:rsidRPr="00CE1A25" w:rsidRDefault="00DE04C1" w:rsidP="001C50E2">
      <w:pPr>
        <w:pStyle w:val="ListParagraph"/>
        <w:numPr>
          <w:ilvl w:val="0"/>
          <w:numId w:val="20"/>
        </w:numPr>
        <w:spacing w:line="280" w:lineRule="exact"/>
        <w:jc w:val="both"/>
        <w:rPr>
          <w:color w:val="auto"/>
        </w:rPr>
      </w:pPr>
      <w:r w:rsidRPr="00CE1A25">
        <w:rPr>
          <w:color w:val="auto"/>
        </w:rPr>
        <w:t>Calculation of capital cost per occupied bed, to which the return on capital benchmark is applied;</w:t>
      </w:r>
    </w:p>
    <w:p w14:paraId="57A3BC76" w14:textId="3CAD0EA4" w:rsidR="00DE04C1" w:rsidRPr="00CE1A25" w:rsidRDefault="00DE04C1" w:rsidP="001C50E2">
      <w:pPr>
        <w:pStyle w:val="ListParagraph"/>
        <w:numPr>
          <w:ilvl w:val="0"/>
          <w:numId w:val="20"/>
        </w:numPr>
        <w:spacing w:line="280" w:lineRule="exact"/>
        <w:jc w:val="both"/>
        <w:rPr>
          <w:color w:val="auto"/>
        </w:rPr>
      </w:pPr>
      <w:r w:rsidRPr="00CE1A25">
        <w:rPr>
          <w:color w:val="auto"/>
        </w:rPr>
        <w:t>Adjustment for occupancy, if any;</w:t>
      </w:r>
    </w:p>
    <w:p w14:paraId="42B2B9D3" w14:textId="564D4A65" w:rsidR="00DE04C1" w:rsidRPr="00CE1A25" w:rsidRDefault="00DE04C1" w:rsidP="001C50E2">
      <w:pPr>
        <w:pStyle w:val="ListParagraph"/>
        <w:numPr>
          <w:ilvl w:val="0"/>
          <w:numId w:val="20"/>
        </w:numPr>
        <w:spacing w:line="280" w:lineRule="exact"/>
        <w:jc w:val="both"/>
        <w:rPr>
          <w:color w:val="auto"/>
        </w:rPr>
      </w:pPr>
      <w:r w:rsidRPr="00CE1A25">
        <w:rPr>
          <w:color w:val="auto"/>
        </w:rPr>
        <w:t>The approach to calculating confidence intervals for the median total costs; and</w:t>
      </w:r>
    </w:p>
    <w:p w14:paraId="0A2FBDE5" w14:textId="10AA7215" w:rsidR="00760341" w:rsidRPr="00CE1A25" w:rsidRDefault="00DE04C1" w:rsidP="000956A9">
      <w:pPr>
        <w:pStyle w:val="ListParagraph"/>
        <w:numPr>
          <w:ilvl w:val="0"/>
          <w:numId w:val="20"/>
        </w:numPr>
        <w:spacing w:line="280" w:lineRule="exact"/>
        <w:jc w:val="both"/>
        <w:rPr>
          <w:color w:val="auto"/>
        </w:rPr>
      </w:pPr>
      <w:r w:rsidRPr="00CE1A25">
        <w:rPr>
          <w:color w:val="auto"/>
        </w:rPr>
        <w:t>Special local factors, if any,</w:t>
      </w:r>
    </w:p>
    <w:bookmarkEnd w:id="9"/>
    <w:p w14:paraId="75E750BD" w14:textId="77777777" w:rsidR="00DE04C1" w:rsidRDefault="00DE04C1" w:rsidP="00DE04C1">
      <w:pPr>
        <w:spacing w:line="280" w:lineRule="exact"/>
        <w:jc w:val="both"/>
      </w:pPr>
    </w:p>
    <w:p w14:paraId="58614884" w14:textId="5B123A11" w:rsidR="00B968A8" w:rsidRPr="00063160" w:rsidRDefault="00B968A8" w:rsidP="00B968A8">
      <w:pPr>
        <w:pStyle w:val="Heading2"/>
        <w:spacing w:line="280" w:lineRule="exact"/>
        <w:ind w:right="0"/>
      </w:pPr>
      <w:bookmarkStart w:id="11" w:name="_Toc116555544"/>
      <w:bookmarkStart w:id="12" w:name="_Hlk114505164"/>
      <w:bookmarkEnd w:id="10"/>
      <w:r>
        <w:t>1.5 Confidence intervals</w:t>
      </w:r>
      <w:bookmarkEnd w:id="11"/>
    </w:p>
    <w:p w14:paraId="6148EEE7" w14:textId="72F6F93E" w:rsidR="00B968A8" w:rsidRDefault="00B968A8" w:rsidP="00B968A8">
      <w:pPr>
        <w:spacing w:after="0" w:line="280" w:lineRule="exact"/>
        <w:jc w:val="both"/>
      </w:pPr>
    </w:p>
    <w:bookmarkEnd w:id="12"/>
    <w:p w14:paraId="2CF5CB59" w14:textId="2F2BABA2" w:rsidR="005E74AC" w:rsidRPr="00CE1A25" w:rsidRDefault="005E74AC" w:rsidP="005E74AC">
      <w:pPr>
        <w:spacing w:after="0" w:line="280" w:lineRule="exact"/>
        <w:jc w:val="both"/>
        <w:rPr>
          <w:color w:val="auto"/>
        </w:rPr>
      </w:pPr>
      <w:r w:rsidRPr="00CE1A25">
        <w:rPr>
          <w:color w:val="auto"/>
        </w:rPr>
        <w:t>While there is no reason to believe that the toolkit responses were biased in any systematic way</w:t>
      </w:r>
      <w:r w:rsidRPr="00CE1A25">
        <w:rPr>
          <w:rStyle w:val="FootnoteReference"/>
          <w:color w:val="auto"/>
        </w:rPr>
        <w:footnoteReference w:id="4"/>
      </w:r>
      <w:r w:rsidRPr="00CE1A25">
        <w:rPr>
          <w:color w:val="auto"/>
        </w:rPr>
        <w:t xml:space="preserve">, the number of respondents in any given council area was limited and there was a high degree of variance in many of the cost lines submitted by respondents. This may give rise to concerns about the </w:t>
      </w:r>
      <w:r w:rsidRPr="00CE1A25">
        <w:rPr>
          <w:color w:val="auto"/>
        </w:rPr>
        <w:lastRenderedPageBreak/>
        <w:t xml:space="preserve">statistical validity of the calculated medians. This concern is best addressed by calculating </w:t>
      </w:r>
      <w:r w:rsidR="00815A3D" w:rsidRPr="00CE1A25">
        <w:rPr>
          <w:color w:val="auto"/>
        </w:rPr>
        <w:t>margins of error (</w:t>
      </w:r>
      <w:r w:rsidRPr="00CE1A25">
        <w:rPr>
          <w:color w:val="auto"/>
        </w:rPr>
        <w:t>confidence intervals</w:t>
      </w:r>
      <w:r w:rsidR="00815A3D" w:rsidRPr="00CE1A25">
        <w:rPr>
          <w:color w:val="auto"/>
        </w:rPr>
        <w:t>)</w:t>
      </w:r>
      <w:r w:rsidRPr="00CE1A25">
        <w:rPr>
          <w:color w:val="auto"/>
        </w:rPr>
        <w:t xml:space="preserve"> around the calculated medians, as illustrated </w:t>
      </w:r>
      <w:r w:rsidR="0056466D" w:rsidRPr="00CE1A25">
        <w:rPr>
          <w:color w:val="auto"/>
        </w:rPr>
        <w:t>by</w:t>
      </w:r>
      <w:r w:rsidRPr="00CE1A25">
        <w:rPr>
          <w:color w:val="auto"/>
        </w:rPr>
        <w:t xml:space="preserve"> </w:t>
      </w:r>
      <w:r w:rsidR="0056466D" w:rsidRPr="00CE1A25">
        <w:rPr>
          <w:color w:val="auto"/>
        </w:rPr>
        <w:t xml:space="preserve">Figure 2 of </w:t>
      </w:r>
      <w:r w:rsidRPr="00CE1A25">
        <w:rPr>
          <w:color w:val="auto"/>
        </w:rPr>
        <w:t>Section 2.12.</w:t>
      </w:r>
    </w:p>
    <w:p w14:paraId="4CA887DC" w14:textId="7870D21E" w:rsidR="003F098B" w:rsidRPr="00CE1A25" w:rsidRDefault="003F098B" w:rsidP="005E74AC">
      <w:pPr>
        <w:spacing w:after="0" w:line="280" w:lineRule="exact"/>
        <w:jc w:val="both"/>
        <w:rPr>
          <w:color w:val="auto"/>
        </w:rPr>
      </w:pPr>
    </w:p>
    <w:p w14:paraId="42A8B136" w14:textId="31DBA70D" w:rsidR="0020408D" w:rsidRPr="00063160" w:rsidRDefault="0020408D" w:rsidP="0020408D">
      <w:pPr>
        <w:pStyle w:val="Heading2"/>
        <w:spacing w:line="280" w:lineRule="exact"/>
        <w:ind w:right="0"/>
      </w:pPr>
      <w:bookmarkStart w:id="13" w:name="_Toc116555545"/>
      <w:bookmarkStart w:id="14" w:name="_Hlk114507097"/>
      <w:r>
        <w:t>1.6 Special local factors</w:t>
      </w:r>
      <w:bookmarkEnd w:id="13"/>
    </w:p>
    <w:p w14:paraId="7B135D88" w14:textId="77777777" w:rsidR="0020408D" w:rsidRDefault="0020408D" w:rsidP="003F098B">
      <w:pPr>
        <w:rPr>
          <w:color w:val="auto"/>
        </w:rPr>
      </w:pPr>
    </w:p>
    <w:p w14:paraId="1B39C8E1" w14:textId="011A8317" w:rsidR="003F098B" w:rsidRPr="00CE1A25" w:rsidRDefault="0020408D" w:rsidP="0020408D">
      <w:pPr>
        <w:rPr>
          <w:color w:val="auto"/>
        </w:rPr>
      </w:pPr>
      <w:bookmarkStart w:id="15" w:name="_Hlk115157796"/>
      <w:r w:rsidRPr="00CE1A25">
        <w:rPr>
          <w:color w:val="auto"/>
        </w:rPr>
        <w:t>T</w:t>
      </w:r>
      <w:r w:rsidR="003F098B" w:rsidRPr="00CE1A25">
        <w:rPr>
          <w:color w:val="auto"/>
        </w:rPr>
        <w:t>here are no special features of the</w:t>
      </w:r>
      <w:r w:rsidR="00EF47C6" w:rsidRPr="00CE1A25">
        <w:rPr>
          <w:color w:val="auto"/>
        </w:rPr>
        <w:t xml:space="preserve"> Sheffield care home </w:t>
      </w:r>
      <w:r w:rsidR="003F098B" w:rsidRPr="00CE1A25">
        <w:rPr>
          <w:color w:val="auto"/>
        </w:rPr>
        <w:t>market which justify variation of the analytical approach adopted for other councils that LaingBuisson has supported in the national FCoC exercise.</w:t>
      </w:r>
    </w:p>
    <w:bookmarkEnd w:id="14"/>
    <w:bookmarkEnd w:id="15"/>
    <w:p w14:paraId="589339E5" w14:textId="77777777" w:rsidR="00B968A8" w:rsidRDefault="00B968A8" w:rsidP="00B968A8">
      <w:pPr>
        <w:spacing w:after="0" w:line="280" w:lineRule="exact"/>
        <w:jc w:val="both"/>
      </w:pPr>
    </w:p>
    <w:p w14:paraId="76D8D549" w14:textId="6DB56824" w:rsidR="00C46D74" w:rsidRDefault="00C46D74" w:rsidP="00B968A8">
      <w:pPr>
        <w:pStyle w:val="Heading2"/>
        <w:spacing w:line="280" w:lineRule="exact"/>
        <w:ind w:right="0"/>
      </w:pPr>
      <w:bookmarkStart w:id="16" w:name="_Toc116555546"/>
      <w:r>
        <w:t>1.</w:t>
      </w:r>
      <w:r w:rsidR="0020408D">
        <w:t>7</w:t>
      </w:r>
      <w:r>
        <w:t xml:space="preserve"> Conclusions</w:t>
      </w:r>
      <w:bookmarkEnd w:id="16"/>
    </w:p>
    <w:p w14:paraId="63692A35" w14:textId="77777777" w:rsidR="00EF47C6" w:rsidRPr="00EF47C6" w:rsidRDefault="00EF47C6" w:rsidP="00EF47C6">
      <w:pPr>
        <w:rPr>
          <w:lang w:eastAsia="en-GB"/>
        </w:rPr>
      </w:pPr>
    </w:p>
    <w:p w14:paraId="27C076D8" w14:textId="7DDBAC0B" w:rsidR="008C2C4A" w:rsidRPr="00CE1A25" w:rsidRDefault="00EF47C6" w:rsidP="001D16C2">
      <w:pPr>
        <w:rPr>
          <w:color w:val="auto"/>
        </w:rPr>
      </w:pPr>
      <w:r w:rsidRPr="00CE1A25">
        <w:rPr>
          <w:color w:val="auto"/>
        </w:rPr>
        <w:t>The FCoC results provide evidence to support a target uplift in the council’s residential care fee rate by a little over £200 per week, subject to available resources, and a target uplift of substantially more than £100 per week for nursing care, again subject to available resources, Section 2.14</w:t>
      </w:r>
    </w:p>
    <w:p w14:paraId="23C39316" w14:textId="77777777" w:rsidR="008C2C4A" w:rsidRDefault="008C2C4A">
      <w:pPr>
        <w:rPr>
          <w:rFonts w:eastAsia="Times New Roman" w:cs="Times New Roman"/>
          <w:color w:val="941F64"/>
          <w:sz w:val="32"/>
          <w:szCs w:val="32"/>
          <w:lang w:eastAsia="en-GB"/>
        </w:rPr>
      </w:pPr>
      <w:r>
        <w:rPr>
          <w:szCs w:val="32"/>
        </w:rPr>
        <w:br w:type="page"/>
      </w:r>
    </w:p>
    <w:p w14:paraId="527A6978" w14:textId="75FC01AB" w:rsidR="00B72549" w:rsidRDefault="000B019E" w:rsidP="00075A43">
      <w:pPr>
        <w:pStyle w:val="Heading1"/>
        <w:numPr>
          <w:ilvl w:val="0"/>
          <w:numId w:val="48"/>
        </w:numPr>
        <w:spacing w:line="280" w:lineRule="exact"/>
        <w:jc w:val="both"/>
        <w:rPr>
          <w:szCs w:val="32"/>
        </w:rPr>
      </w:pPr>
      <w:bookmarkStart w:id="17" w:name="_Toc116555547"/>
      <w:r>
        <w:rPr>
          <w:szCs w:val="32"/>
        </w:rPr>
        <w:lastRenderedPageBreak/>
        <w:t>FAIR COST OF CARE RESULTS FOR SUBMISSION TO DHSC</w:t>
      </w:r>
      <w:bookmarkEnd w:id="17"/>
    </w:p>
    <w:p w14:paraId="3D2D1542" w14:textId="77777777" w:rsidR="00B72549" w:rsidRDefault="00B72549" w:rsidP="00AC2EB3"/>
    <w:p w14:paraId="65EA005B" w14:textId="2766D4C4" w:rsidR="00ED3C39" w:rsidRDefault="001F36EC" w:rsidP="001F36EC">
      <w:pPr>
        <w:pStyle w:val="Heading2"/>
      </w:pPr>
      <w:bookmarkStart w:id="18" w:name="_Toc116555548"/>
      <w:r>
        <w:t xml:space="preserve">2.1 </w:t>
      </w:r>
      <w:r w:rsidR="006C3538">
        <w:t>The IESE toolkit</w:t>
      </w:r>
      <w:bookmarkEnd w:id="18"/>
    </w:p>
    <w:p w14:paraId="5D1C9A6B" w14:textId="77777777" w:rsidR="00ED3C39" w:rsidRPr="00ED3C39" w:rsidRDefault="00ED3C39" w:rsidP="00ED3C39">
      <w:pPr>
        <w:pStyle w:val="ListParagraph"/>
      </w:pPr>
    </w:p>
    <w:p w14:paraId="2D5CE246" w14:textId="09DAA581" w:rsidR="00DD59C1" w:rsidRPr="00E527C0" w:rsidRDefault="006C3538" w:rsidP="00D4413B">
      <w:pPr>
        <w:spacing w:after="0" w:line="280" w:lineRule="exact"/>
        <w:jc w:val="both"/>
        <w:rPr>
          <w:color w:val="auto"/>
          <w:lang w:eastAsia="en-GB"/>
        </w:rPr>
      </w:pPr>
      <w:r w:rsidRPr="00E527C0">
        <w:rPr>
          <w:color w:val="auto"/>
          <w:lang w:eastAsia="en-GB"/>
        </w:rPr>
        <w:t>Under the instructions</w:t>
      </w:r>
      <w:r w:rsidR="007A72DE" w:rsidRPr="00E527C0">
        <w:rPr>
          <w:color w:val="auto"/>
          <w:lang w:eastAsia="en-GB"/>
        </w:rPr>
        <w:t xml:space="preserve"> of</w:t>
      </w:r>
      <w:r w:rsidR="00CE1A25">
        <w:rPr>
          <w:color w:val="auto"/>
          <w:lang w:eastAsia="en-GB"/>
        </w:rPr>
        <w:t xml:space="preserve"> Sheffield</w:t>
      </w:r>
      <w:r w:rsidR="00A72C3E" w:rsidRPr="00E527C0">
        <w:rPr>
          <w:color w:val="auto"/>
          <w:lang w:eastAsia="en-GB"/>
        </w:rPr>
        <w:t xml:space="preserve"> Council, LaingBuisson registered with the IESE CareCubed portal </w:t>
      </w:r>
      <w:r w:rsidR="007A72DE" w:rsidRPr="00E527C0">
        <w:rPr>
          <w:color w:val="auto"/>
          <w:lang w:eastAsia="en-GB"/>
        </w:rPr>
        <w:t>to use their toolkit, with comprehensive support, as recommended by the Local Government Association and DHSC.</w:t>
      </w:r>
      <w:r w:rsidRPr="00E527C0">
        <w:rPr>
          <w:color w:val="auto"/>
          <w:lang w:eastAsia="en-GB"/>
        </w:rPr>
        <w:t xml:space="preserve"> The CareCubed platform takes the form of a multi-page survey </w:t>
      </w:r>
      <w:r w:rsidR="00D47ED2">
        <w:rPr>
          <w:color w:val="auto"/>
          <w:lang w:eastAsia="en-GB"/>
        </w:rPr>
        <w:t>seek</w:t>
      </w:r>
      <w:r w:rsidRPr="00E527C0">
        <w:rPr>
          <w:color w:val="auto"/>
          <w:lang w:eastAsia="en-GB"/>
        </w:rPr>
        <w:t xml:space="preserve">ing general information about the </w:t>
      </w:r>
      <w:r w:rsidR="00774FBA">
        <w:rPr>
          <w:color w:val="auto"/>
          <w:lang w:eastAsia="en-GB"/>
        </w:rPr>
        <w:t xml:space="preserve">care </w:t>
      </w:r>
      <w:r w:rsidRPr="00E527C0">
        <w:rPr>
          <w:color w:val="auto"/>
          <w:lang w:eastAsia="en-GB"/>
        </w:rPr>
        <w:t xml:space="preserve">home to which a submission refers, general expenditure, return on operations and </w:t>
      </w:r>
      <w:r w:rsidR="00774FBA">
        <w:rPr>
          <w:color w:val="auto"/>
          <w:lang w:eastAsia="en-GB"/>
        </w:rPr>
        <w:t xml:space="preserve">return on </w:t>
      </w:r>
      <w:r w:rsidRPr="00E527C0">
        <w:rPr>
          <w:color w:val="auto"/>
          <w:lang w:eastAsia="en-GB"/>
        </w:rPr>
        <w:t>capital, occupancy rates, staffing hours, and direct staffing costs.</w:t>
      </w:r>
      <w:r w:rsidR="00422F71" w:rsidRPr="00E527C0">
        <w:rPr>
          <w:color w:val="auto"/>
          <w:lang w:eastAsia="en-GB"/>
        </w:rPr>
        <w:t xml:space="preserve"> </w:t>
      </w:r>
    </w:p>
    <w:p w14:paraId="5F616461" w14:textId="77777777" w:rsidR="000B019E" w:rsidRDefault="000B019E" w:rsidP="00D4413B">
      <w:pPr>
        <w:spacing w:after="0" w:line="280" w:lineRule="exact"/>
        <w:jc w:val="both"/>
        <w:rPr>
          <w:lang w:eastAsia="en-GB"/>
        </w:rPr>
      </w:pPr>
    </w:p>
    <w:p w14:paraId="3654CBFC" w14:textId="0B93EDF4" w:rsidR="00027115" w:rsidRDefault="001F36EC" w:rsidP="001F36EC">
      <w:pPr>
        <w:pStyle w:val="Heading2"/>
      </w:pPr>
      <w:bookmarkStart w:id="19" w:name="_Toc116555549"/>
      <w:r>
        <w:t>2.2</w:t>
      </w:r>
      <w:r w:rsidR="006C3538" w:rsidRPr="00063160">
        <w:t xml:space="preserve"> </w:t>
      </w:r>
      <w:r w:rsidR="006C3538">
        <w:t>Services in scope</w:t>
      </w:r>
      <w:bookmarkEnd w:id="19"/>
    </w:p>
    <w:p w14:paraId="6E2247DA" w14:textId="77777777" w:rsidR="00ED3C39" w:rsidRPr="00ED3C39" w:rsidRDefault="00ED3C39" w:rsidP="00ED3C39">
      <w:pPr>
        <w:rPr>
          <w:lang w:eastAsia="en-GB"/>
        </w:rPr>
      </w:pPr>
    </w:p>
    <w:p w14:paraId="342B7713" w14:textId="627B5A98" w:rsidR="00027115" w:rsidRPr="00E527C0" w:rsidRDefault="006C3538" w:rsidP="00D4413B">
      <w:pPr>
        <w:spacing w:after="0" w:line="280" w:lineRule="exact"/>
        <w:jc w:val="both"/>
        <w:rPr>
          <w:color w:val="auto"/>
          <w:lang w:eastAsia="en-GB"/>
        </w:rPr>
      </w:pPr>
      <w:r w:rsidRPr="00E527C0">
        <w:rPr>
          <w:color w:val="auto"/>
          <w:lang w:eastAsia="en-GB"/>
        </w:rPr>
        <w:t>There were</w:t>
      </w:r>
      <w:r w:rsidR="00EF47C6">
        <w:rPr>
          <w:color w:val="auto"/>
          <w:lang w:eastAsia="en-GB"/>
        </w:rPr>
        <w:t xml:space="preserve"> 70 </w:t>
      </w:r>
      <w:r w:rsidRPr="00E527C0">
        <w:rPr>
          <w:color w:val="auto"/>
          <w:lang w:eastAsia="en-GB"/>
        </w:rPr>
        <w:t>registered care homes in scope</w:t>
      </w:r>
      <w:r w:rsidR="00435A74">
        <w:rPr>
          <w:color w:val="auto"/>
          <w:lang w:eastAsia="en-GB"/>
        </w:rPr>
        <w:t xml:space="preserve"> (predominantly for older people, aged 65+)</w:t>
      </w:r>
      <w:r w:rsidRPr="00E527C0">
        <w:rPr>
          <w:color w:val="auto"/>
          <w:lang w:eastAsia="en-GB"/>
        </w:rPr>
        <w:t xml:space="preserve"> located within the boundaries of</w:t>
      </w:r>
      <w:r w:rsidR="00EF47C6">
        <w:rPr>
          <w:color w:val="auto"/>
          <w:lang w:eastAsia="en-GB"/>
        </w:rPr>
        <w:t xml:space="preserve"> Sheffield </w:t>
      </w:r>
      <w:r w:rsidRPr="00E527C0">
        <w:rPr>
          <w:color w:val="auto"/>
          <w:lang w:eastAsia="en-GB"/>
        </w:rPr>
        <w:t xml:space="preserve">Council, after removing homes primarily for younger adults. DHSC guidance states that only older </w:t>
      </w:r>
      <w:r w:rsidR="00435A74">
        <w:rPr>
          <w:color w:val="auto"/>
          <w:lang w:eastAsia="en-GB"/>
        </w:rPr>
        <w:t xml:space="preserve">people’s </w:t>
      </w:r>
      <w:r w:rsidRPr="00E527C0">
        <w:rPr>
          <w:color w:val="auto"/>
          <w:lang w:eastAsia="en-GB"/>
        </w:rPr>
        <w:t xml:space="preserve">care homes in contact with local authorities are </w:t>
      </w:r>
      <w:r w:rsidR="0008634D" w:rsidRPr="00E527C0">
        <w:rPr>
          <w:color w:val="auto"/>
          <w:lang w:eastAsia="en-GB"/>
        </w:rPr>
        <w:t xml:space="preserve">in scope, but since nearly all </w:t>
      </w:r>
      <w:r w:rsidR="00435A74" w:rsidRPr="00E527C0">
        <w:rPr>
          <w:color w:val="auto"/>
          <w:lang w:eastAsia="en-GB"/>
        </w:rPr>
        <w:t xml:space="preserve">older </w:t>
      </w:r>
      <w:r w:rsidR="00435A74">
        <w:rPr>
          <w:color w:val="auto"/>
          <w:lang w:eastAsia="en-GB"/>
        </w:rPr>
        <w:t>people’s</w:t>
      </w:r>
      <w:r w:rsidR="00435A74" w:rsidRPr="00E527C0">
        <w:rPr>
          <w:color w:val="auto"/>
          <w:lang w:eastAsia="en-GB"/>
        </w:rPr>
        <w:t xml:space="preserve"> </w:t>
      </w:r>
      <w:r w:rsidR="00646AD6">
        <w:rPr>
          <w:color w:val="auto"/>
          <w:lang w:eastAsia="en-GB"/>
        </w:rPr>
        <w:t xml:space="preserve">care </w:t>
      </w:r>
      <w:r w:rsidR="0008634D" w:rsidRPr="00E527C0">
        <w:rPr>
          <w:color w:val="auto"/>
          <w:lang w:eastAsia="en-GB"/>
        </w:rPr>
        <w:t>homes have at least one council-funded resident, predominantly privately funded homes were interpreted as being in scope as well.</w:t>
      </w:r>
      <w:r w:rsidR="00422F71" w:rsidRPr="00E527C0">
        <w:rPr>
          <w:color w:val="auto"/>
          <w:lang w:eastAsia="en-GB"/>
        </w:rPr>
        <w:t xml:space="preserve"> </w:t>
      </w:r>
    </w:p>
    <w:p w14:paraId="0283D791" w14:textId="77777777" w:rsidR="000B019E" w:rsidRDefault="000B019E" w:rsidP="00D4413B">
      <w:pPr>
        <w:spacing w:after="0" w:line="280" w:lineRule="exact"/>
        <w:jc w:val="both"/>
        <w:rPr>
          <w:lang w:eastAsia="en-GB"/>
        </w:rPr>
      </w:pPr>
    </w:p>
    <w:p w14:paraId="16F189FB" w14:textId="5D11720B" w:rsidR="00D4413B" w:rsidRDefault="001F36EC" w:rsidP="001B535E">
      <w:pPr>
        <w:pStyle w:val="Heading2"/>
      </w:pPr>
      <w:bookmarkStart w:id="20" w:name="_Toc116555550"/>
      <w:r>
        <w:t>2.</w:t>
      </w:r>
      <w:r w:rsidR="000B019E">
        <w:t>3</w:t>
      </w:r>
      <w:r w:rsidR="006C3538" w:rsidRPr="00063160">
        <w:t xml:space="preserve"> </w:t>
      </w:r>
      <w:r w:rsidR="006C3538">
        <w:t>Engagement with providers</w:t>
      </w:r>
      <w:bookmarkEnd w:id="20"/>
    </w:p>
    <w:p w14:paraId="4B470D6B" w14:textId="77777777" w:rsidR="00ED3C39" w:rsidRPr="00ED3C39" w:rsidRDefault="00ED3C39" w:rsidP="00ED3C39">
      <w:pPr>
        <w:rPr>
          <w:lang w:eastAsia="en-GB"/>
        </w:rPr>
      </w:pPr>
    </w:p>
    <w:p w14:paraId="7FDAAB4B" w14:textId="7A8C9471" w:rsidR="008702A2" w:rsidRPr="001A23A7" w:rsidRDefault="008269D0" w:rsidP="009B44BA">
      <w:pPr>
        <w:spacing w:after="0" w:line="280" w:lineRule="exact"/>
        <w:jc w:val="both"/>
        <w:rPr>
          <w:color w:val="auto"/>
          <w:lang w:eastAsia="en-GB"/>
        </w:rPr>
      </w:pPr>
      <w:r>
        <w:rPr>
          <w:color w:val="auto"/>
          <w:lang w:eastAsia="en-GB"/>
        </w:rPr>
        <w:t>LaingBuisson</w:t>
      </w:r>
      <w:r w:rsidR="006C3538" w:rsidRPr="001A23A7">
        <w:rPr>
          <w:color w:val="auto"/>
          <w:lang w:eastAsia="en-GB"/>
        </w:rPr>
        <w:t xml:space="preserve"> worked with the council </w:t>
      </w:r>
      <w:r w:rsidR="00201DA8">
        <w:rPr>
          <w:color w:val="auto"/>
          <w:lang w:eastAsia="en-GB"/>
        </w:rPr>
        <w:t xml:space="preserve">over July and August 2022 </w:t>
      </w:r>
      <w:r w:rsidR="006C3538" w:rsidRPr="001A23A7">
        <w:rPr>
          <w:color w:val="auto"/>
          <w:lang w:eastAsia="en-GB"/>
        </w:rPr>
        <w:t xml:space="preserve">to engage with providers </w:t>
      </w:r>
      <w:r w:rsidR="00D4413B" w:rsidRPr="001A23A7">
        <w:rPr>
          <w:color w:val="auto"/>
          <w:lang w:eastAsia="en-GB"/>
        </w:rPr>
        <w:t xml:space="preserve">through a variety of communication channels, </w:t>
      </w:r>
      <w:r w:rsidR="00CB5C7D">
        <w:rPr>
          <w:color w:val="auto"/>
          <w:lang w:eastAsia="en-GB"/>
        </w:rPr>
        <w:t xml:space="preserve">the most important being </w:t>
      </w:r>
      <w:r w:rsidR="00D4413B" w:rsidRPr="001A23A7">
        <w:rPr>
          <w:color w:val="auto"/>
          <w:lang w:eastAsia="en-GB"/>
        </w:rPr>
        <w:t xml:space="preserve">intensive, direct telephone contact </w:t>
      </w:r>
      <w:r w:rsidR="000E7B07" w:rsidRPr="001A23A7">
        <w:rPr>
          <w:color w:val="auto"/>
          <w:lang w:eastAsia="en-GB"/>
        </w:rPr>
        <w:t>to</w:t>
      </w:r>
      <w:r w:rsidR="00D4413B" w:rsidRPr="001A23A7">
        <w:rPr>
          <w:color w:val="auto"/>
          <w:lang w:eastAsia="en-GB"/>
        </w:rPr>
        <w:t xml:space="preserve"> encourage participation and completion of the toolkit.</w:t>
      </w:r>
      <w:r w:rsidR="00140B0F" w:rsidRPr="001A23A7">
        <w:rPr>
          <w:color w:val="auto"/>
          <w:lang w:eastAsia="en-GB"/>
        </w:rPr>
        <w:t xml:space="preserve"> </w:t>
      </w:r>
      <w:r w:rsidR="00CB5C7D">
        <w:rPr>
          <w:color w:val="auto"/>
          <w:lang w:eastAsia="en-GB"/>
        </w:rPr>
        <w:t>In addition,</w:t>
      </w:r>
      <w:r w:rsidR="00140B0F" w:rsidRPr="001A23A7">
        <w:rPr>
          <w:color w:val="auto"/>
          <w:lang w:eastAsia="en-GB"/>
        </w:rPr>
        <w:t xml:space="preserve"> </w:t>
      </w:r>
      <w:r w:rsidR="001B535E">
        <w:rPr>
          <w:color w:val="auto"/>
          <w:lang w:eastAsia="en-GB"/>
        </w:rPr>
        <w:t>support w</w:t>
      </w:r>
      <w:r w:rsidR="00E362B2">
        <w:rPr>
          <w:color w:val="auto"/>
          <w:lang w:eastAsia="en-GB"/>
        </w:rPr>
        <w:t xml:space="preserve">as given </w:t>
      </w:r>
      <w:r w:rsidR="001B535E">
        <w:rPr>
          <w:color w:val="auto"/>
          <w:lang w:eastAsia="en-GB"/>
        </w:rPr>
        <w:t xml:space="preserve">to </w:t>
      </w:r>
      <w:r w:rsidR="00140B0F" w:rsidRPr="001A23A7">
        <w:rPr>
          <w:color w:val="auto"/>
          <w:lang w:eastAsia="en-GB"/>
        </w:rPr>
        <w:t xml:space="preserve">providers who were in </w:t>
      </w:r>
      <w:r w:rsidR="00646AD6">
        <w:rPr>
          <w:color w:val="auto"/>
          <w:lang w:eastAsia="en-GB"/>
        </w:rPr>
        <w:t xml:space="preserve">the </w:t>
      </w:r>
      <w:r w:rsidR="00140B0F" w:rsidRPr="001A23A7">
        <w:rPr>
          <w:color w:val="auto"/>
          <w:lang w:eastAsia="en-GB"/>
        </w:rPr>
        <w:t>process of completing their submissions.</w:t>
      </w:r>
      <w:r w:rsidR="001A23A7" w:rsidRPr="001A23A7">
        <w:rPr>
          <w:color w:val="auto"/>
          <w:lang w:eastAsia="en-GB"/>
        </w:rPr>
        <w:t xml:space="preserve"> </w:t>
      </w:r>
      <w:r w:rsidR="00CB5C7D" w:rsidRPr="00E527C0">
        <w:rPr>
          <w:color w:val="auto"/>
          <w:lang w:eastAsia="en-GB"/>
        </w:rPr>
        <w:t>Over the course of the project, a total of</w:t>
      </w:r>
      <w:r w:rsidR="00EF47C6">
        <w:rPr>
          <w:color w:val="auto"/>
          <w:lang w:eastAsia="en-GB"/>
        </w:rPr>
        <w:t xml:space="preserve"> 212</w:t>
      </w:r>
      <w:r w:rsidR="00CB5C7D">
        <w:rPr>
          <w:sz w:val="32"/>
        </w:rPr>
        <w:t xml:space="preserve"> </w:t>
      </w:r>
      <w:r w:rsidR="00CB5C7D" w:rsidRPr="00E527C0">
        <w:rPr>
          <w:color w:val="auto"/>
          <w:lang w:eastAsia="en-GB"/>
        </w:rPr>
        <w:t>calls were made to care home providers in</w:t>
      </w:r>
      <w:r w:rsidR="00CE1A25">
        <w:rPr>
          <w:color w:val="auto"/>
          <w:lang w:eastAsia="en-GB"/>
        </w:rPr>
        <w:t xml:space="preserve"> Sheffield</w:t>
      </w:r>
      <w:r w:rsidR="00CB5C7D" w:rsidRPr="00E527C0">
        <w:rPr>
          <w:color w:val="auto"/>
          <w:lang w:eastAsia="en-GB"/>
        </w:rPr>
        <w:t>,</w:t>
      </w:r>
      <w:r w:rsidR="00201DA8">
        <w:rPr>
          <w:color w:val="auto"/>
          <w:lang w:eastAsia="en-GB"/>
        </w:rPr>
        <w:t xml:space="preserve"> </w:t>
      </w:r>
      <w:r w:rsidR="00646AD6">
        <w:rPr>
          <w:color w:val="auto"/>
          <w:lang w:eastAsia="en-GB"/>
        </w:rPr>
        <w:t>and v</w:t>
      </w:r>
      <w:r w:rsidR="00E362B2">
        <w:rPr>
          <w:color w:val="auto"/>
          <w:lang w:eastAsia="en-GB"/>
        </w:rPr>
        <w:t>alidati</w:t>
      </w:r>
      <w:r w:rsidR="00646AD6">
        <w:rPr>
          <w:color w:val="auto"/>
          <w:lang w:eastAsia="en-GB"/>
        </w:rPr>
        <w:t>ng</w:t>
      </w:r>
      <w:r w:rsidR="00E362B2">
        <w:rPr>
          <w:color w:val="auto"/>
          <w:lang w:eastAsia="en-GB"/>
        </w:rPr>
        <w:t xml:space="preserve"> completed toolkits</w:t>
      </w:r>
      <w:r w:rsidR="00646AD6">
        <w:rPr>
          <w:color w:val="auto"/>
          <w:lang w:eastAsia="en-GB"/>
        </w:rPr>
        <w:t xml:space="preserve"> (</w:t>
      </w:r>
      <w:r w:rsidR="009D69A7">
        <w:rPr>
          <w:color w:val="auto"/>
          <w:lang w:eastAsia="en-GB"/>
        </w:rPr>
        <w:t xml:space="preserve">including querying anomalies via </w:t>
      </w:r>
      <w:r w:rsidR="001B535E">
        <w:rPr>
          <w:color w:val="auto"/>
          <w:lang w:eastAsia="en-GB"/>
        </w:rPr>
        <w:t>C</w:t>
      </w:r>
      <w:r w:rsidR="009D69A7">
        <w:rPr>
          <w:color w:val="auto"/>
          <w:lang w:eastAsia="en-GB"/>
        </w:rPr>
        <w:t>are</w:t>
      </w:r>
      <w:r w:rsidR="001B535E">
        <w:rPr>
          <w:color w:val="auto"/>
          <w:lang w:eastAsia="en-GB"/>
        </w:rPr>
        <w:t>C</w:t>
      </w:r>
      <w:r w:rsidR="009D69A7">
        <w:rPr>
          <w:color w:val="auto"/>
          <w:lang w:eastAsia="en-GB"/>
        </w:rPr>
        <w:t>ubed</w:t>
      </w:r>
      <w:r w:rsidR="00646AD6">
        <w:rPr>
          <w:color w:val="auto"/>
          <w:lang w:eastAsia="en-GB"/>
        </w:rPr>
        <w:t>)</w:t>
      </w:r>
      <w:r w:rsidR="00E362B2">
        <w:rPr>
          <w:color w:val="auto"/>
          <w:lang w:eastAsia="en-GB"/>
        </w:rPr>
        <w:t xml:space="preserve"> </w:t>
      </w:r>
      <w:r w:rsidR="00CB5C7D">
        <w:rPr>
          <w:color w:val="auto"/>
          <w:lang w:eastAsia="en-GB"/>
        </w:rPr>
        <w:t>took</w:t>
      </w:r>
      <w:r w:rsidR="00E362B2">
        <w:rPr>
          <w:color w:val="auto"/>
          <w:lang w:eastAsia="en-GB"/>
        </w:rPr>
        <w:t xml:space="preserve"> place in parallel</w:t>
      </w:r>
      <w:r w:rsidR="001B535E">
        <w:rPr>
          <w:color w:val="auto"/>
          <w:lang w:eastAsia="en-GB"/>
        </w:rPr>
        <w:t>.</w:t>
      </w:r>
    </w:p>
    <w:p w14:paraId="2C216013" w14:textId="77777777" w:rsidR="009B44BA" w:rsidRDefault="009B44BA" w:rsidP="009B44BA">
      <w:pPr>
        <w:spacing w:after="0" w:line="280" w:lineRule="exact"/>
        <w:jc w:val="both"/>
        <w:rPr>
          <w:lang w:eastAsia="en-GB"/>
        </w:rPr>
      </w:pPr>
    </w:p>
    <w:p w14:paraId="176F8FE6" w14:textId="36A2AA7A" w:rsidR="00935CE6" w:rsidRPr="00D47ED2" w:rsidRDefault="00201DA8" w:rsidP="00D47ED2">
      <w:pPr>
        <w:pStyle w:val="Heading2"/>
      </w:pPr>
      <w:bookmarkStart w:id="21" w:name="_Toc116555551"/>
      <w:r w:rsidRPr="00D47ED2">
        <w:t>2.</w:t>
      </w:r>
      <w:r w:rsidR="00FF2646">
        <w:t>4</w:t>
      </w:r>
      <w:r w:rsidR="008702A2" w:rsidRPr="00D47ED2">
        <w:t xml:space="preserve"> </w:t>
      </w:r>
      <w:r w:rsidR="001114F9" w:rsidRPr="00D47ED2">
        <w:t>Quality of toolkit submissions</w:t>
      </w:r>
      <w:bookmarkEnd w:id="21"/>
    </w:p>
    <w:p w14:paraId="2DF0199C" w14:textId="3C5CE5E0" w:rsidR="00ED3C39" w:rsidRDefault="00ED3C39" w:rsidP="00ED3C39">
      <w:pPr>
        <w:rPr>
          <w:lang w:eastAsia="en-GB"/>
        </w:rPr>
      </w:pPr>
    </w:p>
    <w:p w14:paraId="52EB8AD4" w14:textId="7B41E73B" w:rsidR="001114F9" w:rsidRPr="00CE1A25" w:rsidRDefault="00EB37E5" w:rsidP="00182F79">
      <w:pPr>
        <w:spacing w:after="0" w:line="280" w:lineRule="exact"/>
        <w:jc w:val="both"/>
        <w:rPr>
          <w:color w:val="auto"/>
          <w:lang w:eastAsia="en-GB"/>
        </w:rPr>
      </w:pPr>
      <w:r w:rsidRPr="00CE1A25">
        <w:rPr>
          <w:color w:val="auto"/>
          <w:lang w:eastAsia="en-GB"/>
        </w:rPr>
        <w:t>LaingBuisson</w:t>
      </w:r>
      <w:r w:rsidR="00F23EF7" w:rsidRPr="00CE1A25">
        <w:rPr>
          <w:color w:val="auto"/>
          <w:lang w:eastAsia="en-GB"/>
        </w:rPr>
        <w:t>’</w:t>
      </w:r>
      <w:r w:rsidR="00D47ED2" w:rsidRPr="00CE1A25">
        <w:rPr>
          <w:color w:val="auto"/>
          <w:lang w:eastAsia="en-GB"/>
        </w:rPr>
        <w:t>s</w:t>
      </w:r>
      <w:r w:rsidR="00F23EF7" w:rsidRPr="00CE1A25">
        <w:rPr>
          <w:color w:val="auto"/>
          <w:lang w:eastAsia="en-GB"/>
        </w:rPr>
        <w:t xml:space="preserve"> experience, </w:t>
      </w:r>
      <w:r w:rsidR="00435A74" w:rsidRPr="00CE1A25">
        <w:rPr>
          <w:color w:val="auto"/>
          <w:lang w:eastAsia="en-GB"/>
        </w:rPr>
        <w:t xml:space="preserve">gained </w:t>
      </w:r>
      <w:r w:rsidR="00F23EF7" w:rsidRPr="00CE1A25">
        <w:rPr>
          <w:color w:val="auto"/>
          <w:lang w:eastAsia="en-GB"/>
        </w:rPr>
        <w:t xml:space="preserve">from similar care cost exercises carried out </w:t>
      </w:r>
      <w:r w:rsidRPr="00CE1A25">
        <w:rPr>
          <w:color w:val="auto"/>
          <w:lang w:eastAsia="en-GB"/>
        </w:rPr>
        <w:t xml:space="preserve">in recent years, </w:t>
      </w:r>
      <w:r w:rsidR="00F23EF7" w:rsidRPr="00CE1A25">
        <w:rPr>
          <w:color w:val="auto"/>
          <w:lang w:eastAsia="en-GB"/>
        </w:rPr>
        <w:t xml:space="preserve">is that </w:t>
      </w:r>
      <w:r w:rsidRPr="00CE1A25">
        <w:rPr>
          <w:color w:val="auto"/>
          <w:lang w:eastAsia="en-GB"/>
        </w:rPr>
        <w:t xml:space="preserve">the quality of submissions </w:t>
      </w:r>
      <w:r w:rsidR="00F23EF7" w:rsidRPr="00CE1A25">
        <w:rPr>
          <w:color w:val="auto"/>
          <w:lang w:eastAsia="en-GB"/>
        </w:rPr>
        <w:t>is</w:t>
      </w:r>
      <w:r w:rsidRPr="00CE1A25">
        <w:rPr>
          <w:color w:val="auto"/>
          <w:lang w:eastAsia="en-GB"/>
        </w:rPr>
        <w:t xml:space="preserve"> variable. </w:t>
      </w:r>
      <w:r w:rsidR="00EE4F85" w:rsidRPr="00CE1A25">
        <w:rPr>
          <w:color w:val="auto"/>
          <w:lang w:eastAsia="en-GB"/>
        </w:rPr>
        <w:t>L</w:t>
      </w:r>
      <w:r w:rsidRPr="00CE1A25">
        <w:rPr>
          <w:color w:val="auto"/>
          <w:lang w:eastAsia="en-GB"/>
        </w:rPr>
        <w:t xml:space="preserve">arge corporate groups typically have the resources to submit consistent and reliable numbers, but </w:t>
      </w:r>
      <w:r w:rsidR="00F23EF7" w:rsidRPr="00CE1A25">
        <w:rPr>
          <w:color w:val="auto"/>
          <w:lang w:eastAsia="en-GB"/>
        </w:rPr>
        <w:t>SMEs and micro-businesses can find it challenging to deal with the volume and complexity of data requested in toolkits</w:t>
      </w:r>
      <w:r w:rsidR="00374047" w:rsidRPr="00CE1A25">
        <w:rPr>
          <w:color w:val="auto"/>
          <w:lang w:eastAsia="en-GB"/>
        </w:rPr>
        <w:t xml:space="preserve"> and may leave </w:t>
      </w:r>
      <w:r w:rsidR="00686538" w:rsidRPr="00CE1A25">
        <w:rPr>
          <w:color w:val="auto"/>
          <w:lang w:eastAsia="en-GB"/>
        </w:rPr>
        <w:t xml:space="preserve">some questions unanswered </w:t>
      </w:r>
      <w:r w:rsidR="00554E8B" w:rsidRPr="00CE1A25">
        <w:rPr>
          <w:color w:val="auto"/>
          <w:lang w:eastAsia="en-GB"/>
        </w:rPr>
        <w:t>or incorrectly answered</w:t>
      </w:r>
      <w:r w:rsidR="00F23EF7" w:rsidRPr="00CE1A25">
        <w:rPr>
          <w:color w:val="auto"/>
          <w:lang w:eastAsia="en-GB"/>
        </w:rPr>
        <w:t xml:space="preserve">.  </w:t>
      </w:r>
      <w:r w:rsidR="00EE4F85" w:rsidRPr="00CE1A25">
        <w:rPr>
          <w:color w:val="auto"/>
          <w:lang w:eastAsia="en-GB"/>
        </w:rPr>
        <w:t xml:space="preserve">Consequently, it is </w:t>
      </w:r>
      <w:r w:rsidR="00EE4F85" w:rsidRPr="00CE1A25">
        <w:rPr>
          <w:color w:val="auto"/>
          <w:lang w:eastAsia="en-GB"/>
        </w:rPr>
        <w:lastRenderedPageBreak/>
        <w:t xml:space="preserve">necessary to apply a robust validation process, including </w:t>
      </w:r>
      <w:r w:rsidR="00686538" w:rsidRPr="00CE1A25">
        <w:rPr>
          <w:color w:val="auto"/>
          <w:lang w:eastAsia="en-GB"/>
        </w:rPr>
        <w:t>querying anomalous submissions with respondents and assisting them to provide the appropriate data.</w:t>
      </w:r>
    </w:p>
    <w:p w14:paraId="2BC46659" w14:textId="77777777" w:rsidR="00313694" w:rsidRDefault="00313694" w:rsidP="00182F79">
      <w:pPr>
        <w:spacing w:after="0" w:line="280" w:lineRule="exact"/>
        <w:jc w:val="both"/>
        <w:rPr>
          <w:lang w:eastAsia="en-GB"/>
        </w:rPr>
      </w:pPr>
    </w:p>
    <w:p w14:paraId="69BABC4B" w14:textId="3D46A6C7" w:rsidR="001114F9" w:rsidRPr="00D47ED2" w:rsidRDefault="001114F9" w:rsidP="00182F79">
      <w:pPr>
        <w:pStyle w:val="Heading2"/>
        <w:spacing w:line="280" w:lineRule="exact"/>
      </w:pPr>
      <w:bookmarkStart w:id="22" w:name="_Toc116555552"/>
      <w:r w:rsidRPr="00D47ED2">
        <w:t>2.</w:t>
      </w:r>
      <w:r w:rsidR="00FF2646">
        <w:t>5</w:t>
      </w:r>
      <w:r w:rsidRPr="00D47ED2">
        <w:t xml:space="preserve"> Validation</w:t>
      </w:r>
      <w:bookmarkEnd w:id="22"/>
    </w:p>
    <w:p w14:paraId="5DE58B1E" w14:textId="77777777" w:rsidR="001114F9" w:rsidRPr="00ED3C39" w:rsidRDefault="001114F9" w:rsidP="00182F79">
      <w:pPr>
        <w:spacing w:after="0" w:line="280" w:lineRule="exact"/>
        <w:jc w:val="both"/>
        <w:rPr>
          <w:lang w:eastAsia="en-GB"/>
        </w:rPr>
      </w:pPr>
    </w:p>
    <w:p w14:paraId="6F135235" w14:textId="089191DF" w:rsidR="008A233A" w:rsidRPr="00CE1A25" w:rsidRDefault="006C3538" w:rsidP="00E863D2">
      <w:pPr>
        <w:spacing w:after="0" w:line="280" w:lineRule="exact"/>
        <w:jc w:val="both"/>
        <w:rPr>
          <w:color w:val="auto"/>
        </w:rPr>
      </w:pPr>
      <w:r w:rsidRPr="00CE1A25">
        <w:rPr>
          <w:color w:val="auto"/>
        </w:rPr>
        <w:t>In the validation process, toolkit submissions were checked by LaingBuisson for sense and consistency</w:t>
      </w:r>
      <w:r w:rsidR="00554E8B" w:rsidRPr="00CE1A25">
        <w:rPr>
          <w:color w:val="auto"/>
        </w:rPr>
        <w:t>,</w:t>
      </w:r>
      <w:r w:rsidRPr="00CE1A25">
        <w:rPr>
          <w:color w:val="auto"/>
        </w:rPr>
        <w:t xml:space="preserve"> and anomalies were amended as necessary with the agreement of providers</w:t>
      </w:r>
      <w:r w:rsidR="00201DA8" w:rsidRPr="00CE1A25">
        <w:rPr>
          <w:color w:val="auto"/>
        </w:rPr>
        <w:t xml:space="preserve">. </w:t>
      </w:r>
      <w:r w:rsidR="00343535" w:rsidRPr="00CE1A25">
        <w:rPr>
          <w:color w:val="auto"/>
        </w:rPr>
        <w:t xml:space="preserve">Checking of toolkits was conducted individually through a comparison of submissions from </w:t>
      </w:r>
      <w:r w:rsidR="0062137C" w:rsidRPr="00CE1A25">
        <w:rPr>
          <w:color w:val="auto"/>
        </w:rPr>
        <w:t>similar</w:t>
      </w:r>
      <w:r w:rsidR="00343535" w:rsidRPr="00CE1A25">
        <w:rPr>
          <w:color w:val="auto"/>
        </w:rPr>
        <w:t xml:space="preserve"> care homes, and </w:t>
      </w:r>
      <w:r w:rsidR="00D978DB" w:rsidRPr="00CE1A25">
        <w:rPr>
          <w:color w:val="auto"/>
        </w:rPr>
        <w:t xml:space="preserve">through </w:t>
      </w:r>
      <w:r w:rsidR="00343535" w:rsidRPr="00CE1A25">
        <w:rPr>
          <w:color w:val="auto"/>
        </w:rPr>
        <w:t>comparisons between submissions and LaingBuisson’s</w:t>
      </w:r>
      <w:r w:rsidR="00C50BFF" w:rsidRPr="00CE1A25">
        <w:rPr>
          <w:color w:val="auto"/>
        </w:rPr>
        <w:t xml:space="preserve"> historic</w:t>
      </w:r>
      <w:r w:rsidR="00343535" w:rsidRPr="00CE1A25">
        <w:rPr>
          <w:color w:val="auto"/>
        </w:rPr>
        <w:t xml:space="preserve"> Care Cost Benchmarks</w:t>
      </w:r>
      <w:r w:rsidR="00C50BFF" w:rsidRPr="00CE1A25">
        <w:rPr>
          <w:color w:val="auto"/>
        </w:rPr>
        <w:t xml:space="preserve"> dataset</w:t>
      </w:r>
      <w:r w:rsidR="002B260A" w:rsidRPr="00CE1A25">
        <w:rPr>
          <w:rStyle w:val="FootnoteReference"/>
          <w:color w:val="auto"/>
        </w:rPr>
        <w:footnoteReference w:id="5"/>
      </w:r>
      <w:r w:rsidR="00343535" w:rsidRPr="00CE1A25">
        <w:rPr>
          <w:color w:val="auto"/>
        </w:rPr>
        <w:t>.</w:t>
      </w:r>
      <w:r w:rsidRPr="00CE1A25">
        <w:rPr>
          <w:color w:val="auto"/>
        </w:rPr>
        <w:t xml:space="preserve"> </w:t>
      </w:r>
      <w:r w:rsidR="00D978DB" w:rsidRPr="00CE1A25">
        <w:rPr>
          <w:color w:val="auto"/>
        </w:rPr>
        <w:t>Toolkit submissions for individual cost lines</w:t>
      </w:r>
      <w:r w:rsidRPr="00CE1A25">
        <w:rPr>
          <w:color w:val="auto"/>
        </w:rPr>
        <w:t xml:space="preserve"> were queried when</w:t>
      </w:r>
      <w:r w:rsidR="00343535" w:rsidRPr="00CE1A25">
        <w:rPr>
          <w:color w:val="auto"/>
        </w:rPr>
        <w:t xml:space="preserve"> </w:t>
      </w:r>
      <w:r w:rsidRPr="00CE1A25">
        <w:rPr>
          <w:color w:val="auto"/>
        </w:rPr>
        <w:t>they were found to be</w:t>
      </w:r>
      <w:r w:rsidR="00343535" w:rsidRPr="00CE1A25">
        <w:rPr>
          <w:color w:val="auto"/>
        </w:rPr>
        <w:t xml:space="preserve"> significantly outside of expected ra</w:t>
      </w:r>
      <w:r w:rsidRPr="00CE1A25">
        <w:rPr>
          <w:color w:val="auto"/>
        </w:rPr>
        <w:t>nges, with particular attention paid to the plausibility of figures which contribute most notably towards total costs</w:t>
      </w:r>
      <w:r w:rsidR="00554E8B" w:rsidRPr="00CE1A25">
        <w:rPr>
          <w:color w:val="auto"/>
        </w:rPr>
        <w:t xml:space="preserve">, such as staffing. </w:t>
      </w:r>
    </w:p>
    <w:p w14:paraId="5345A19B" w14:textId="77777777" w:rsidR="008A233A" w:rsidRPr="00CE1A25" w:rsidRDefault="008A233A" w:rsidP="00E863D2">
      <w:pPr>
        <w:spacing w:after="0" w:line="280" w:lineRule="exact"/>
        <w:jc w:val="both"/>
        <w:rPr>
          <w:color w:val="auto"/>
        </w:rPr>
      </w:pPr>
    </w:p>
    <w:p w14:paraId="72AA92E5" w14:textId="5395C50B" w:rsidR="00AC6397" w:rsidRPr="00CE1A25" w:rsidRDefault="00567D8A" w:rsidP="00E863D2">
      <w:pPr>
        <w:spacing w:after="0" w:line="280" w:lineRule="exact"/>
        <w:jc w:val="both"/>
        <w:rPr>
          <w:color w:val="auto"/>
        </w:rPr>
      </w:pPr>
      <w:r w:rsidRPr="00CE1A25">
        <w:rPr>
          <w:color w:val="auto"/>
        </w:rPr>
        <w:t>A</w:t>
      </w:r>
      <w:r w:rsidR="006C3538" w:rsidRPr="00CE1A25">
        <w:rPr>
          <w:color w:val="auto"/>
        </w:rPr>
        <w:t xml:space="preserve"> facility to query submissions </w:t>
      </w:r>
      <w:r w:rsidR="00CA7ADC" w:rsidRPr="00CE1A25">
        <w:rPr>
          <w:color w:val="auto"/>
        </w:rPr>
        <w:t xml:space="preserve">was made </w:t>
      </w:r>
      <w:r w:rsidR="006C3538" w:rsidRPr="00CE1A25">
        <w:rPr>
          <w:color w:val="auto"/>
        </w:rPr>
        <w:t xml:space="preserve">available through the Local Authority </w:t>
      </w:r>
      <w:r w:rsidR="004E23AA" w:rsidRPr="00CE1A25">
        <w:rPr>
          <w:color w:val="auto"/>
        </w:rPr>
        <w:t>user interface</w:t>
      </w:r>
      <w:r w:rsidR="006C3538" w:rsidRPr="00CE1A25">
        <w:rPr>
          <w:color w:val="auto"/>
        </w:rPr>
        <w:t xml:space="preserve"> of</w:t>
      </w:r>
      <w:r w:rsidR="004E23AA" w:rsidRPr="00CE1A25">
        <w:rPr>
          <w:color w:val="auto"/>
        </w:rPr>
        <w:t xml:space="preserve"> the</w:t>
      </w:r>
      <w:r w:rsidR="006C3538" w:rsidRPr="00CE1A25">
        <w:rPr>
          <w:color w:val="auto"/>
        </w:rPr>
        <w:t xml:space="preserve"> </w:t>
      </w:r>
      <w:r w:rsidR="00AA1002" w:rsidRPr="00CE1A25">
        <w:rPr>
          <w:color w:val="auto"/>
        </w:rPr>
        <w:t>CareCubed</w:t>
      </w:r>
      <w:r w:rsidR="004E23AA" w:rsidRPr="00CE1A25">
        <w:rPr>
          <w:color w:val="auto"/>
        </w:rPr>
        <w:t xml:space="preserve"> platform</w:t>
      </w:r>
      <w:r w:rsidR="006C3538" w:rsidRPr="00CE1A25">
        <w:rPr>
          <w:color w:val="auto"/>
        </w:rPr>
        <w:t xml:space="preserve">. </w:t>
      </w:r>
      <w:r w:rsidR="005132F9" w:rsidRPr="00CE1A25">
        <w:rPr>
          <w:color w:val="auto"/>
        </w:rPr>
        <w:t>This involve</w:t>
      </w:r>
      <w:r w:rsidR="00564E77" w:rsidRPr="00CE1A25">
        <w:rPr>
          <w:color w:val="auto"/>
        </w:rPr>
        <w:t>d</w:t>
      </w:r>
      <w:r w:rsidR="005132F9" w:rsidRPr="00CE1A25">
        <w:rPr>
          <w:color w:val="auto"/>
        </w:rPr>
        <w:t xml:space="preserve"> the submission of comments on individual figures given by providers. Providers</w:t>
      </w:r>
      <w:r w:rsidR="00CA7ADC" w:rsidRPr="00CE1A25">
        <w:rPr>
          <w:color w:val="auto"/>
        </w:rPr>
        <w:t xml:space="preserve"> were </w:t>
      </w:r>
      <w:r w:rsidR="005132F9" w:rsidRPr="00CE1A25">
        <w:rPr>
          <w:color w:val="auto"/>
        </w:rPr>
        <w:t>then notified that their response ha</w:t>
      </w:r>
      <w:r w:rsidR="00AC6397" w:rsidRPr="00CE1A25">
        <w:rPr>
          <w:color w:val="auto"/>
        </w:rPr>
        <w:t>d</w:t>
      </w:r>
      <w:r w:rsidR="005132F9" w:rsidRPr="00CE1A25">
        <w:rPr>
          <w:color w:val="auto"/>
        </w:rPr>
        <w:t xml:space="preserve"> been put into a query and </w:t>
      </w:r>
      <w:r w:rsidR="00CA7ADC" w:rsidRPr="00CE1A25">
        <w:rPr>
          <w:color w:val="auto"/>
        </w:rPr>
        <w:t>w</w:t>
      </w:r>
      <w:r w:rsidR="009D69A7" w:rsidRPr="00CE1A25">
        <w:rPr>
          <w:color w:val="auto"/>
        </w:rPr>
        <w:t xml:space="preserve">ere </w:t>
      </w:r>
      <w:r w:rsidR="00CA7ADC" w:rsidRPr="00CE1A25">
        <w:rPr>
          <w:color w:val="auto"/>
        </w:rPr>
        <w:t xml:space="preserve">able to see the </w:t>
      </w:r>
      <w:r w:rsidR="004E23AA" w:rsidRPr="00CE1A25">
        <w:rPr>
          <w:color w:val="auto"/>
        </w:rPr>
        <w:t xml:space="preserve">flagged </w:t>
      </w:r>
      <w:r w:rsidR="00CA7ADC" w:rsidRPr="00CE1A25">
        <w:rPr>
          <w:color w:val="auto"/>
        </w:rPr>
        <w:t>queries</w:t>
      </w:r>
      <w:r w:rsidR="004E23AA" w:rsidRPr="00CE1A25">
        <w:rPr>
          <w:color w:val="auto"/>
        </w:rPr>
        <w:t xml:space="preserve"> with comments,</w:t>
      </w:r>
      <w:r w:rsidR="00CA7ADC" w:rsidRPr="00CE1A25">
        <w:rPr>
          <w:color w:val="auto"/>
        </w:rPr>
        <w:t xml:space="preserve"> upon logging into the platform. Changes to submissions were only enabled on the provider side, meaning that </w:t>
      </w:r>
      <w:r w:rsidR="009D537F" w:rsidRPr="00CE1A25">
        <w:rPr>
          <w:color w:val="auto"/>
        </w:rPr>
        <w:t xml:space="preserve">any queried anomalies </w:t>
      </w:r>
      <w:r w:rsidRPr="00CE1A25">
        <w:rPr>
          <w:color w:val="auto"/>
        </w:rPr>
        <w:t>which</w:t>
      </w:r>
      <w:r w:rsidR="00CA7ADC" w:rsidRPr="00CE1A25">
        <w:rPr>
          <w:color w:val="auto"/>
        </w:rPr>
        <w:t xml:space="preserve"> a provider did not understand or </w:t>
      </w:r>
      <w:r w:rsidR="00EB1D30" w:rsidRPr="00CE1A25">
        <w:rPr>
          <w:color w:val="auto"/>
        </w:rPr>
        <w:t xml:space="preserve">did not </w:t>
      </w:r>
      <w:r w:rsidR="00CA7ADC" w:rsidRPr="00CE1A25">
        <w:rPr>
          <w:color w:val="auto"/>
        </w:rPr>
        <w:t>attempt to resolve</w:t>
      </w:r>
      <w:r w:rsidR="009D537F" w:rsidRPr="00CE1A25">
        <w:rPr>
          <w:color w:val="auto"/>
        </w:rPr>
        <w:t>,</w:t>
      </w:r>
      <w:r w:rsidR="00CA7ADC" w:rsidRPr="00CE1A25">
        <w:rPr>
          <w:color w:val="auto"/>
        </w:rPr>
        <w:t xml:space="preserve"> </w:t>
      </w:r>
      <w:r w:rsidR="009D537F" w:rsidRPr="00CE1A25">
        <w:rPr>
          <w:color w:val="auto"/>
        </w:rPr>
        <w:t>could not be fully validated</w:t>
      </w:r>
      <w:r w:rsidR="00CA7ADC" w:rsidRPr="00CE1A25">
        <w:rPr>
          <w:color w:val="auto"/>
        </w:rPr>
        <w:t xml:space="preserve"> through the platform.</w:t>
      </w:r>
      <w:r w:rsidR="00EB1D30" w:rsidRPr="00CE1A25">
        <w:rPr>
          <w:color w:val="auto"/>
        </w:rPr>
        <w:t xml:space="preserve"> </w:t>
      </w:r>
    </w:p>
    <w:p w14:paraId="1489B691" w14:textId="3BB087FC" w:rsidR="00AC6397" w:rsidRPr="00CE1A25" w:rsidRDefault="00AC6397" w:rsidP="00E863D2">
      <w:pPr>
        <w:spacing w:after="0" w:line="280" w:lineRule="exact"/>
        <w:jc w:val="both"/>
        <w:rPr>
          <w:color w:val="auto"/>
        </w:rPr>
      </w:pPr>
    </w:p>
    <w:p w14:paraId="7E5DAE3A" w14:textId="702D923E" w:rsidR="00EA4723" w:rsidRPr="00CE1A25" w:rsidRDefault="004F1185" w:rsidP="00E863D2">
      <w:pPr>
        <w:spacing w:after="0" w:line="280" w:lineRule="exact"/>
        <w:jc w:val="both"/>
        <w:rPr>
          <w:color w:val="auto"/>
        </w:rPr>
      </w:pPr>
      <w:r w:rsidRPr="00CE1A25">
        <w:rPr>
          <w:color w:val="auto"/>
        </w:rPr>
        <w:t>Consequently, e</w:t>
      </w:r>
      <w:r w:rsidR="00EA4723" w:rsidRPr="00CE1A25">
        <w:rPr>
          <w:color w:val="auto"/>
        </w:rPr>
        <w:t xml:space="preserve">ven after applying such validation processes as were practicably possible, there remained toolkits with </w:t>
      </w:r>
      <w:r w:rsidR="00891031" w:rsidRPr="00CE1A25">
        <w:rPr>
          <w:color w:val="auto"/>
        </w:rPr>
        <w:t xml:space="preserve">one or more </w:t>
      </w:r>
      <w:r w:rsidR="00EA4723" w:rsidRPr="00CE1A25">
        <w:rPr>
          <w:color w:val="auto"/>
        </w:rPr>
        <w:t xml:space="preserve">cost lines which were inappropriately null or zero, or </w:t>
      </w:r>
      <w:r w:rsidR="00891031" w:rsidRPr="00CE1A25">
        <w:rPr>
          <w:color w:val="auto"/>
        </w:rPr>
        <w:t xml:space="preserve">which appeared to be outside of reasonable ranges. In most cases, the anomalies related to minor cost items, and it was evident that an approach was needed which would optimise the use of fully validated data without discarding toolkits which </w:t>
      </w:r>
      <w:r w:rsidR="00D978DB" w:rsidRPr="00CE1A25">
        <w:rPr>
          <w:color w:val="auto"/>
        </w:rPr>
        <w:t>still contained unvalidated data for some minor cost lines.</w:t>
      </w:r>
    </w:p>
    <w:p w14:paraId="0D93E009" w14:textId="77777777" w:rsidR="00EA4723" w:rsidRDefault="00EA4723" w:rsidP="00E863D2">
      <w:pPr>
        <w:spacing w:after="0" w:line="280" w:lineRule="exact"/>
        <w:jc w:val="both"/>
        <w:rPr>
          <w:color w:val="auto"/>
        </w:rPr>
      </w:pPr>
    </w:p>
    <w:p w14:paraId="4012F22E" w14:textId="6DEFDE38" w:rsidR="008D48D6" w:rsidRDefault="005826A0" w:rsidP="005826A0">
      <w:pPr>
        <w:pStyle w:val="Heading2"/>
        <w:spacing w:line="280" w:lineRule="exact"/>
        <w:ind w:right="0"/>
      </w:pPr>
      <w:bookmarkStart w:id="23" w:name="_Toc116555553"/>
      <w:r>
        <w:t>2.</w:t>
      </w:r>
      <w:r w:rsidR="00FF2646">
        <w:t>6</w:t>
      </w:r>
      <w:r>
        <w:t xml:space="preserve"> </w:t>
      </w:r>
      <w:r w:rsidR="008D48D6">
        <w:t>Incomplete toolkit submissions</w:t>
      </w:r>
      <w:bookmarkEnd w:id="23"/>
    </w:p>
    <w:p w14:paraId="7E07AA8E" w14:textId="77777777" w:rsidR="008D48D6" w:rsidRDefault="008D48D6" w:rsidP="00182F79"/>
    <w:p w14:paraId="59F56DA9" w14:textId="2202B481" w:rsidR="005826A0" w:rsidRPr="00063160" w:rsidRDefault="008D48D6" w:rsidP="00182F79">
      <w:pPr>
        <w:pStyle w:val="Heading3"/>
      </w:pPr>
      <w:bookmarkStart w:id="24" w:name="_Toc116555554"/>
      <w:r>
        <w:t>2</w:t>
      </w:r>
      <w:r w:rsidR="00FF2646">
        <w:t>.6</w:t>
      </w:r>
      <w:r>
        <w:t xml:space="preserve">.1 </w:t>
      </w:r>
      <w:r w:rsidR="00D648C4">
        <w:t xml:space="preserve">Interpolation </w:t>
      </w:r>
      <w:r w:rsidR="00D648C4" w:rsidRPr="00182F79">
        <w:rPr>
          <w:i/>
          <w:iCs/>
          <w:u w:val="single"/>
        </w:rPr>
        <w:t>vs</w:t>
      </w:r>
      <w:r w:rsidR="00D648C4">
        <w:t xml:space="preserve"> o</w:t>
      </w:r>
      <w:r w:rsidR="005826A0">
        <w:t>utlier exclusion</w:t>
      </w:r>
      <w:bookmarkEnd w:id="24"/>
    </w:p>
    <w:p w14:paraId="377CD72B" w14:textId="1ACC7318" w:rsidR="005826A0" w:rsidRDefault="005826A0" w:rsidP="00182F79">
      <w:pPr>
        <w:spacing w:after="0" w:line="280" w:lineRule="atLeast"/>
        <w:jc w:val="both"/>
      </w:pPr>
    </w:p>
    <w:p w14:paraId="30681DE9" w14:textId="515687E8" w:rsidR="00D648C4" w:rsidRPr="00CE1A25" w:rsidRDefault="00D648C4" w:rsidP="00182F79">
      <w:pPr>
        <w:spacing w:after="0" w:line="280" w:lineRule="atLeast"/>
        <w:jc w:val="both"/>
        <w:rPr>
          <w:color w:val="auto"/>
        </w:rPr>
      </w:pPr>
      <w:r w:rsidRPr="00CE1A25">
        <w:rPr>
          <w:color w:val="auto"/>
        </w:rPr>
        <w:t>There are two basic approaches to optimising value from survey</w:t>
      </w:r>
      <w:r w:rsidR="000136A5" w:rsidRPr="00CE1A25">
        <w:rPr>
          <w:color w:val="auto"/>
        </w:rPr>
        <w:t xml:space="preserve"> result</w:t>
      </w:r>
      <w:r w:rsidRPr="00CE1A25">
        <w:rPr>
          <w:color w:val="auto"/>
        </w:rPr>
        <w:t>s where</w:t>
      </w:r>
      <w:r w:rsidR="000136A5" w:rsidRPr="00CE1A25">
        <w:rPr>
          <w:color w:val="auto"/>
        </w:rPr>
        <w:t xml:space="preserve">, even after a robust </w:t>
      </w:r>
      <w:r w:rsidRPr="00CE1A25">
        <w:rPr>
          <w:color w:val="auto"/>
        </w:rPr>
        <w:t>validation</w:t>
      </w:r>
      <w:r w:rsidR="000136A5" w:rsidRPr="00CE1A25">
        <w:rPr>
          <w:color w:val="auto"/>
        </w:rPr>
        <w:t xml:space="preserve"> process</w:t>
      </w:r>
      <w:r w:rsidRPr="00CE1A25">
        <w:rPr>
          <w:color w:val="auto"/>
        </w:rPr>
        <w:t>, some cost lines in any given toolkit submission may be zero or empty (null)</w:t>
      </w:r>
      <w:r w:rsidR="000136A5" w:rsidRPr="00CE1A25">
        <w:rPr>
          <w:color w:val="auto"/>
        </w:rPr>
        <w:t xml:space="preserve">, and some may </w:t>
      </w:r>
      <w:r w:rsidR="007E7934" w:rsidRPr="00CE1A25">
        <w:rPr>
          <w:color w:val="auto"/>
        </w:rPr>
        <w:t>be outside a reasonable range:</w:t>
      </w:r>
    </w:p>
    <w:p w14:paraId="7FA89FD4" w14:textId="4D8D0B16" w:rsidR="007E7934" w:rsidRPr="00CE1A25" w:rsidRDefault="007E7934" w:rsidP="00182F79">
      <w:pPr>
        <w:spacing w:after="0" w:line="280" w:lineRule="atLeast"/>
        <w:jc w:val="both"/>
        <w:rPr>
          <w:color w:val="auto"/>
        </w:rPr>
      </w:pPr>
    </w:p>
    <w:p w14:paraId="2FB7A168" w14:textId="32F4ABD4" w:rsidR="006F0BCF" w:rsidRPr="00CE1A25" w:rsidRDefault="007E7934" w:rsidP="00182F79">
      <w:pPr>
        <w:pStyle w:val="ListParagraph"/>
        <w:numPr>
          <w:ilvl w:val="0"/>
          <w:numId w:val="20"/>
        </w:numPr>
        <w:spacing w:line="280" w:lineRule="atLeast"/>
        <w:jc w:val="both"/>
        <w:rPr>
          <w:color w:val="auto"/>
        </w:rPr>
      </w:pPr>
      <w:r w:rsidRPr="00CE1A25">
        <w:rPr>
          <w:b/>
          <w:bCs/>
          <w:color w:val="auto"/>
        </w:rPr>
        <w:lastRenderedPageBreak/>
        <w:t>Interpolation</w:t>
      </w:r>
      <w:r w:rsidRPr="00CE1A25">
        <w:rPr>
          <w:color w:val="auto"/>
        </w:rPr>
        <w:t xml:space="preserve"> is one approach, in which null, zero or extreme outlier data for any individual cost line in any given toolkit submission is substituted by the median (or mean) value </w:t>
      </w:r>
      <w:r w:rsidR="004E0D13" w:rsidRPr="00CE1A25">
        <w:rPr>
          <w:color w:val="auto"/>
        </w:rPr>
        <w:t xml:space="preserve">among those toolkits that submitted valid, in range data for that cost line. By this means, otherwise valid </w:t>
      </w:r>
      <w:r w:rsidR="004C2768" w:rsidRPr="00CE1A25">
        <w:rPr>
          <w:color w:val="auto"/>
        </w:rPr>
        <w:t>toolkits</w:t>
      </w:r>
      <w:r w:rsidR="004E0D13" w:rsidRPr="00CE1A25">
        <w:rPr>
          <w:color w:val="auto"/>
        </w:rPr>
        <w:t xml:space="preserve"> can avoid being discarded due to the absence of minor cost items. I</w:t>
      </w:r>
      <w:r w:rsidR="004C2768" w:rsidRPr="00CE1A25">
        <w:rPr>
          <w:color w:val="auto"/>
        </w:rPr>
        <w:t>n this approach i</w:t>
      </w:r>
      <w:r w:rsidR="004E0D13" w:rsidRPr="00CE1A25">
        <w:rPr>
          <w:color w:val="auto"/>
        </w:rPr>
        <w:t>t is reasonable to interpolate value</w:t>
      </w:r>
      <w:r w:rsidR="004C2768" w:rsidRPr="00CE1A25">
        <w:rPr>
          <w:color w:val="auto"/>
        </w:rPr>
        <w:t>s</w:t>
      </w:r>
      <w:r w:rsidR="004E0D13" w:rsidRPr="00CE1A25">
        <w:rPr>
          <w:color w:val="auto"/>
        </w:rPr>
        <w:t xml:space="preserve"> for minor cost lines, though not for major cost lines, such as staffing costs, which are major drivers of total costs;</w:t>
      </w:r>
      <w:r w:rsidR="004C2768" w:rsidRPr="00CE1A25">
        <w:rPr>
          <w:color w:val="auto"/>
        </w:rPr>
        <w:t xml:space="preserve"> Interpolation maximises the number of valid toolkit responses, from which the median numbers for each individual cost line</w:t>
      </w:r>
      <w:r w:rsidR="006F0BCF" w:rsidRPr="00CE1A25">
        <w:rPr>
          <w:color w:val="auto"/>
        </w:rPr>
        <w:t>, as well as the median total cost for all validated toolkits</w:t>
      </w:r>
      <w:r w:rsidR="00D22EB7" w:rsidRPr="00CE1A25">
        <w:rPr>
          <w:color w:val="auto"/>
        </w:rPr>
        <w:t xml:space="preserve"> can be calculated</w:t>
      </w:r>
      <w:r w:rsidR="006F0BCF" w:rsidRPr="00CE1A25">
        <w:rPr>
          <w:color w:val="auto"/>
        </w:rPr>
        <w:t>.  A downside of the interpolation approach, however, i</w:t>
      </w:r>
      <w:r w:rsidR="00AA1B24" w:rsidRPr="00CE1A25">
        <w:rPr>
          <w:color w:val="auto"/>
        </w:rPr>
        <w:t>s</w:t>
      </w:r>
      <w:r w:rsidR="006F0BCF" w:rsidRPr="00CE1A25">
        <w:rPr>
          <w:color w:val="auto"/>
        </w:rPr>
        <w:t xml:space="preserve"> that the nature of medians (the DHSC’s preferred measure of central tendency) means that the individual cost line medians </w:t>
      </w:r>
      <w:r w:rsidR="00D22EB7" w:rsidRPr="00CE1A25">
        <w:rPr>
          <w:color w:val="auto"/>
        </w:rPr>
        <w:t>d</w:t>
      </w:r>
      <w:r w:rsidR="006F0BCF" w:rsidRPr="00CE1A25">
        <w:rPr>
          <w:color w:val="auto"/>
        </w:rPr>
        <w:t>o not add to the</w:t>
      </w:r>
      <w:r w:rsidR="009E080C" w:rsidRPr="00CE1A25">
        <w:rPr>
          <w:color w:val="auto"/>
        </w:rPr>
        <w:t xml:space="preserve"> subtotal medians and the subtotal medians do not add to the total cost median.</w:t>
      </w:r>
    </w:p>
    <w:p w14:paraId="4AF78C0C" w14:textId="77777777" w:rsidR="004C2768" w:rsidRPr="00CE1A25" w:rsidRDefault="004C2768" w:rsidP="00182F79">
      <w:pPr>
        <w:pStyle w:val="ListParagraph"/>
        <w:spacing w:line="280" w:lineRule="atLeast"/>
        <w:jc w:val="both"/>
        <w:rPr>
          <w:color w:val="auto"/>
        </w:rPr>
      </w:pPr>
    </w:p>
    <w:p w14:paraId="3DD8E431" w14:textId="7777EB9A" w:rsidR="004E0D13" w:rsidRPr="00CE1A25" w:rsidRDefault="004E0D13" w:rsidP="00182F79">
      <w:pPr>
        <w:pStyle w:val="ListParagraph"/>
        <w:numPr>
          <w:ilvl w:val="0"/>
          <w:numId w:val="20"/>
        </w:numPr>
        <w:spacing w:line="280" w:lineRule="atLeast"/>
        <w:jc w:val="both"/>
        <w:rPr>
          <w:color w:val="auto"/>
        </w:rPr>
      </w:pPr>
      <w:r w:rsidRPr="00CE1A25">
        <w:rPr>
          <w:b/>
          <w:bCs/>
          <w:color w:val="auto"/>
        </w:rPr>
        <w:t xml:space="preserve">Outlier exclusion </w:t>
      </w:r>
      <w:r w:rsidRPr="00CE1A25">
        <w:rPr>
          <w:color w:val="auto"/>
        </w:rPr>
        <w:t>is another approach</w:t>
      </w:r>
      <w:r w:rsidR="007A7097" w:rsidRPr="00CE1A25">
        <w:rPr>
          <w:color w:val="auto"/>
        </w:rPr>
        <w:t>,</w:t>
      </w:r>
      <w:r w:rsidR="004C2768" w:rsidRPr="00CE1A25">
        <w:rPr>
          <w:color w:val="auto"/>
        </w:rPr>
        <w:t xml:space="preserve"> in which </w:t>
      </w:r>
      <w:r w:rsidR="009E080C" w:rsidRPr="00CE1A25">
        <w:rPr>
          <w:color w:val="auto"/>
        </w:rPr>
        <w:t xml:space="preserve">median values are calculated </w:t>
      </w:r>
      <w:r w:rsidR="00787637" w:rsidRPr="00CE1A25">
        <w:rPr>
          <w:color w:val="auto"/>
        </w:rPr>
        <w:t xml:space="preserve">separately </w:t>
      </w:r>
      <w:r w:rsidR="009E080C" w:rsidRPr="00CE1A25">
        <w:rPr>
          <w:color w:val="auto"/>
        </w:rPr>
        <w:t xml:space="preserve">for each </w:t>
      </w:r>
      <w:r w:rsidR="004C2768" w:rsidRPr="00CE1A25">
        <w:rPr>
          <w:color w:val="auto"/>
        </w:rPr>
        <w:t>cos</w:t>
      </w:r>
      <w:r w:rsidR="009E080C" w:rsidRPr="00CE1A25">
        <w:rPr>
          <w:color w:val="auto"/>
        </w:rPr>
        <w:t>t line</w:t>
      </w:r>
      <w:r w:rsidR="00787637" w:rsidRPr="00CE1A25">
        <w:rPr>
          <w:color w:val="auto"/>
        </w:rPr>
        <w:t xml:space="preserve">, using </w:t>
      </w:r>
      <w:r w:rsidR="009E080C" w:rsidRPr="00CE1A25">
        <w:rPr>
          <w:color w:val="auto"/>
        </w:rPr>
        <w:t xml:space="preserve">all </w:t>
      </w:r>
      <w:r w:rsidR="00787637" w:rsidRPr="00CE1A25">
        <w:rPr>
          <w:color w:val="auto"/>
        </w:rPr>
        <w:t xml:space="preserve">submitted </w:t>
      </w:r>
      <w:r w:rsidR="009E080C" w:rsidRPr="00CE1A25">
        <w:rPr>
          <w:color w:val="auto"/>
        </w:rPr>
        <w:t>toolkits where that particular cost line was validated</w:t>
      </w:r>
      <w:r w:rsidR="00787637" w:rsidRPr="00CE1A25">
        <w:rPr>
          <w:color w:val="auto"/>
        </w:rPr>
        <w:t xml:space="preserve">, and excluding </w:t>
      </w:r>
      <w:r w:rsidR="007A7097" w:rsidRPr="00CE1A25">
        <w:rPr>
          <w:color w:val="auto"/>
        </w:rPr>
        <w:t xml:space="preserve">all </w:t>
      </w:r>
      <w:r w:rsidR="00787637" w:rsidRPr="00CE1A25">
        <w:rPr>
          <w:color w:val="auto"/>
        </w:rPr>
        <w:t>‘outlier</w:t>
      </w:r>
      <w:r w:rsidR="007A7097" w:rsidRPr="00CE1A25">
        <w:rPr>
          <w:color w:val="auto"/>
        </w:rPr>
        <w:t>s</w:t>
      </w:r>
      <w:r w:rsidR="00787637" w:rsidRPr="00CE1A25">
        <w:rPr>
          <w:color w:val="auto"/>
        </w:rPr>
        <w:t>’ whether they be null or zero values or outside a defined range</w:t>
      </w:r>
      <w:r w:rsidR="007A7097" w:rsidRPr="00CE1A25">
        <w:rPr>
          <w:color w:val="auto"/>
        </w:rPr>
        <w:t>. The full output required by DHSC can then be built</w:t>
      </w:r>
      <w:r w:rsidR="00554E8B" w:rsidRPr="00CE1A25">
        <w:rPr>
          <w:color w:val="auto"/>
        </w:rPr>
        <w:t>-</w:t>
      </w:r>
      <w:r w:rsidR="007A7097" w:rsidRPr="00CE1A25">
        <w:rPr>
          <w:color w:val="auto"/>
        </w:rPr>
        <w:t xml:space="preserve">up from individual cost line medians. A bonus from this method is that each of the four </w:t>
      </w:r>
      <w:r w:rsidR="005D5E18" w:rsidRPr="00CE1A25">
        <w:rPr>
          <w:color w:val="auto"/>
        </w:rPr>
        <w:t xml:space="preserve">median </w:t>
      </w:r>
      <w:r w:rsidR="007A7097" w:rsidRPr="00CE1A25">
        <w:rPr>
          <w:color w:val="auto"/>
        </w:rPr>
        <w:t>total cost</w:t>
      </w:r>
      <w:r w:rsidR="005D5E18" w:rsidRPr="00CE1A25">
        <w:rPr>
          <w:color w:val="auto"/>
        </w:rPr>
        <w:t>s</w:t>
      </w:r>
      <w:r w:rsidR="007A7097" w:rsidRPr="00CE1A25">
        <w:rPr>
          <w:color w:val="auto"/>
        </w:rPr>
        <w:t xml:space="preserve"> </w:t>
      </w:r>
      <w:r w:rsidR="000E236F" w:rsidRPr="00CE1A25">
        <w:rPr>
          <w:color w:val="auto"/>
        </w:rPr>
        <w:t xml:space="preserve">required by DHSC </w:t>
      </w:r>
      <w:r w:rsidR="007A7097" w:rsidRPr="00CE1A25">
        <w:rPr>
          <w:color w:val="auto"/>
        </w:rPr>
        <w:t>(</w:t>
      </w:r>
      <w:r w:rsidR="005D5E18" w:rsidRPr="00CE1A25">
        <w:rPr>
          <w:color w:val="auto"/>
        </w:rPr>
        <w:t xml:space="preserve">for </w:t>
      </w:r>
      <w:r w:rsidR="007A7097" w:rsidRPr="00CE1A25">
        <w:rPr>
          <w:color w:val="auto"/>
        </w:rPr>
        <w:t>residential, residential enhanced, nursing and nursing enhanced</w:t>
      </w:r>
      <w:r w:rsidR="005D5E18" w:rsidRPr="00CE1A25">
        <w:rPr>
          <w:color w:val="auto"/>
        </w:rPr>
        <w:t xml:space="preserve"> care) are equal to the sum of the median subtotals and the median subtotals are equal to the sums of the relevant individual cost lines.</w:t>
      </w:r>
    </w:p>
    <w:p w14:paraId="303FBF98" w14:textId="77777777" w:rsidR="005D5E18" w:rsidRPr="00CE1A25" w:rsidRDefault="005D5E18" w:rsidP="00182F79">
      <w:pPr>
        <w:pStyle w:val="ListParagraph"/>
        <w:spacing w:line="280" w:lineRule="atLeast"/>
        <w:rPr>
          <w:color w:val="auto"/>
        </w:rPr>
      </w:pPr>
    </w:p>
    <w:p w14:paraId="55441753" w14:textId="0EC37150" w:rsidR="005D5E18" w:rsidRPr="00CE1A25" w:rsidRDefault="005D5E18" w:rsidP="00182F79">
      <w:pPr>
        <w:spacing w:line="280" w:lineRule="atLeast"/>
        <w:jc w:val="both"/>
        <w:rPr>
          <w:color w:val="auto"/>
        </w:rPr>
      </w:pPr>
      <w:r w:rsidRPr="00CE1A25">
        <w:rPr>
          <w:color w:val="auto"/>
        </w:rPr>
        <w:t xml:space="preserve">We have </w:t>
      </w:r>
      <w:r w:rsidR="003E3808" w:rsidRPr="00CE1A25">
        <w:rPr>
          <w:color w:val="auto"/>
        </w:rPr>
        <w:t xml:space="preserve">opted to </w:t>
      </w:r>
      <w:r w:rsidRPr="00CE1A25">
        <w:rPr>
          <w:color w:val="auto"/>
        </w:rPr>
        <w:t xml:space="preserve">use the </w:t>
      </w:r>
      <w:r w:rsidRPr="00CE1A25">
        <w:rPr>
          <w:b/>
          <w:bCs/>
          <w:color w:val="auto"/>
        </w:rPr>
        <w:t>outlier exclusion</w:t>
      </w:r>
      <w:r w:rsidRPr="00CE1A25">
        <w:rPr>
          <w:color w:val="auto"/>
        </w:rPr>
        <w:t xml:space="preserve"> a</w:t>
      </w:r>
      <w:r w:rsidR="000E236F" w:rsidRPr="00CE1A25">
        <w:rPr>
          <w:color w:val="auto"/>
        </w:rPr>
        <w:t>pproach</w:t>
      </w:r>
      <w:r w:rsidR="003F43AB" w:rsidRPr="00CE1A25">
        <w:rPr>
          <w:color w:val="auto"/>
        </w:rPr>
        <w:t>, and w</w:t>
      </w:r>
      <w:r w:rsidR="003E3808" w:rsidRPr="00CE1A25">
        <w:rPr>
          <w:color w:val="auto"/>
        </w:rPr>
        <w:t>e</w:t>
      </w:r>
      <w:r w:rsidR="000E236F" w:rsidRPr="00CE1A25">
        <w:rPr>
          <w:color w:val="auto"/>
        </w:rPr>
        <w:t xml:space="preserve"> have defined outliers </w:t>
      </w:r>
      <w:r w:rsidR="00C4034F" w:rsidRPr="00CE1A25">
        <w:rPr>
          <w:color w:val="auto"/>
        </w:rPr>
        <w:t>to encompass</w:t>
      </w:r>
      <w:r w:rsidR="000E236F" w:rsidRPr="00CE1A25">
        <w:rPr>
          <w:color w:val="auto"/>
        </w:rPr>
        <w:t>:</w:t>
      </w:r>
    </w:p>
    <w:p w14:paraId="741BF945" w14:textId="0743D31D" w:rsidR="000E236F" w:rsidRPr="00CE1A25" w:rsidRDefault="000E236F" w:rsidP="00182F79">
      <w:pPr>
        <w:pStyle w:val="ListParagraph"/>
        <w:numPr>
          <w:ilvl w:val="0"/>
          <w:numId w:val="37"/>
        </w:numPr>
        <w:spacing w:line="280" w:lineRule="atLeast"/>
        <w:jc w:val="both"/>
        <w:rPr>
          <w:color w:val="auto"/>
        </w:rPr>
      </w:pPr>
      <w:r w:rsidRPr="00CE1A25">
        <w:rPr>
          <w:color w:val="auto"/>
        </w:rPr>
        <w:t xml:space="preserve">Null (empty) </w:t>
      </w:r>
      <w:r w:rsidR="00B44CD8" w:rsidRPr="00CE1A25">
        <w:rPr>
          <w:color w:val="auto"/>
        </w:rPr>
        <w:t xml:space="preserve">or zero </w:t>
      </w:r>
      <w:r w:rsidRPr="00CE1A25">
        <w:rPr>
          <w:color w:val="auto"/>
        </w:rPr>
        <w:t xml:space="preserve">values for any cost line where a null </w:t>
      </w:r>
      <w:r w:rsidR="00B44CD8" w:rsidRPr="00CE1A25">
        <w:rPr>
          <w:color w:val="auto"/>
        </w:rPr>
        <w:t xml:space="preserve">/ zero </w:t>
      </w:r>
      <w:r w:rsidRPr="00CE1A25">
        <w:rPr>
          <w:color w:val="auto"/>
        </w:rPr>
        <w:t>value</w:t>
      </w:r>
      <w:r w:rsidR="00B44CD8" w:rsidRPr="00CE1A25">
        <w:rPr>
          <w:color w:val="auto"/>
        </w:rPr>
        <w:t xml:space="preserve"> </w:t>
      </w:r>
      <w:r w:rsidR="008628B0" w:rsidRPr="00CE1A25">
        <w:rPr>
          <w:color w:val="auto"/>
        </w:rPr>
        <w:t>is</w:t>
      </w:r>
      <w:r w:rsidRPr="00CE1A25">
        <w:rPr>
          <w:color w:val="auto"/>
        </w:rPr>
        <w:t xml:space="preserve"> inappropriate;</w:t>
      </w:r>
      <w:r w:rsidR="00D22EB7" w:rsidRPr="00CE1A25">
        <w:rPr>
          <w:color w:val="auto"/>
        </w:rPr>
        <w:t xml:space="preserve"> and</w:t>
      </w:r>
    </w:p>
    <w:p w14:paraId="14495815" w14:textId="77777777" w:rsidR="00B44CD8" w:rsidRPr="00CE1A25" w:rsidRDefault="00B44CD8" w:rsidP="00182F79">
      <w:pPr>
        <w:pStyle w:val="ListParagraph"/>
        <w:spacing w:line="280" w:lineRule="atLeast"/>
        <w:jc w:val="both"/>
        <w:rPr>
          <w:color w:val="auto"/>
        </w:rPr>
      </w:pPr>
    </w:p>
    <w:p w14:paraId="3EAF9A48" w14:textId="4B131CE7" w:rsidR="00C4034F" w:rsidRPr="00CE1A25" w:rsidRDefault="004F1185" w:rsidP="00C4034F">
      <w:pPr>
        <w:pStyle w:val="ListParagraph"/>
        <w:numPr>
          <w:ilvl w:val="0"/>
          <w:numId w:val="37"/>
        </w:numPr>
        <w:rPr>
          <w:color w:val="auto"/>
        </w:rPr>
      </w:pPr>
      <w:r w:rsidRPr="00CE1A25">
        <w:rPr>
          <w:color w:val="auto"/>
        </w:rPr>
        <w:t>Non-zero</w:t>
      </w:r>
      <w:r w:rsidR="008628B0" w:rsidRPr="00CE1A25">
        <w:rPr>
          <w:color w:val="auto"/>
        </w:rPr>
        <w:t xml:space="preserve"> </w:t>
      </w:r>
      <w:r w:rsidRPr="00CE1A25">
        <w:rPr>
          <w:color w:val="auto"/>
        </w:rPr>
        <w:t>values which are outsid</w:t>
      </w:r>
      <w:r w:rsidR="008628B0" w:rsidRPr="00CE1A25">
        <w:rPr>
          <w:color w:val="auto"/>
        </w:rPr>
        <w:t>e</w:t>
      </w:r>
      <w:r w:rsidRPr="00CE1A25">
        <w:rPr>
          <w:color w:val="auto"/>
        </w:rPr>
        <w:t xml:space="preserve"> </w:t>
      </w:r>
      <w:r w:rsidR="003E3808" w:rsidRPr="00CE1A25">
        <w:rPr>
          <w:color w:val="auto"/>
        </w:rPr>
        <w:t>specified</w:t>
      </w:r>
      <w:r w:rsidRPr="00CE1A25">
        <w:rPr>
          <w:color w:val="auto"/>
        </w:rPr>
        <w:t xml:space="preserve"> </w:t>
      </w:r>
      <w:r w:rsidR="008628B0" w:rsidRPr="00CE1A25">
        <w:rPr>
          <w:color w:val="auto"/>
        </w:rPr>
        <w:t>boundaries</w:t>
      </w:r>
      <w:r w:rsidR="00926944" w:rsidRPr="00CE1A25">
        <w:rPr>
          <w:color w:val="auto"/>
        </w:rPr>
        <w:t xml:space="preserve">. </w:t>
      </w:r>
    </w:p>
    <w:p w14:paraId="71BE9DA3" w14:textId="77777777" w:rsidR="00C4034F" w:rsidRPr="00CE1A25" w:rsidRDefault="00C4034F" w:rsidP="00182F79">
      <w:pPr>
        <w:pStyle w:val="ListParagraph"/>
        <w:rPr>
          <w:color w:val="auto"/>
        </w:rPr>
      </w:pPr>
    </w:p>
    <w:p w14:paraId="04C1792D" w14:textId="77777777" w:rsidR="001F1479" w:rsidRPr="00CE1A25" w:rsidRDefault="001F1479" w:rsidP="001F1479">
      <w:pPr>
        <w:rPr>
          <w:color w:val="auto"/>
        </w:rPr>
      </w:pPr>
      <w:r w:rsidRPr="00CE1A25">
        <w:rPr>
          <w:color w:val="auto"/>
        </w:rPr>
        <w:t>With respect to b), having researched various methodologies, we adopted Double Median Absolute Deviation (Double MAD) as the preferred approach to setting outlier boundaries for each individual cost line.</w:t>
      </w:r>
    </w:p>
    <w:p w14:paraId="0D525572" w14:textId="77777777" w:rsidR="001F1479" w:rsidRPr="00CE1A25" w:rsidRDefault="001F1479" w:rsidP="001F1479">
      <w:pPr>
        <w:spacing w:after="0" w:line="280" w:lineRule="atLeast"/>
        <w:jc w:val="both"/>
        <w:rPr>
          <w:color w:val="auto"/>
        </w:rPr>
      </w:pPr>
      <m:oMathPara>
        <m:oMath>
          <m:r>
            <w:rPr>
              <w:rFonts w:ascii="Cambria Math" w:hAnsi="Cambria Math"/>
              <w:color w:val="auto"/>
            </w:rPr>
            <m:t>MAD=median(</m:t>
          </m:r>
          <m:d>
            <m:dPr>
              <m:begChr m:val="|"/>
              <m:endChr m:val="|"/>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i</m:t>
                  </m:r>
                </m:sub>
              </m:sSub>
              <m:r>
                <w:rPr>
                  <w:rFonts w:ascii="Cambria Math" w:hAnsi="Cambria Math"/>
                  <w:color w:val="auto"/>
                </w:rPr>
                <m:t>-</m:t>
              </m:r>
              <m:acc>
                <m:accPr>
                  <m:chr m:val="̅"/>
                  <m:ctrlPr>
                    <w:rPr>
                      <w:rFonts w:ascii="Cambria Math" w:hAnsi="Cambria Math"/>
                      <w:i/>
                      <w:color w:val="auto"/>
                    </w:rPr>
                  </m:ctrlPr>
                </m:accPr>
                <m:e>
                  <m:r>
                    <w:rPr>
                      <w:rFonts w:ascii="Cambria Math" w:hAnsi="Cambria Math"/>
                      <w:color w:val="auto"/>
                    </w:rPr>
                    <m:t>X</m:t>
                  </m:r>
                </m:e>
              </m:acc>
            </m:e>
          </m:d>
          <m:r>
            <w:rPr>
              <w:rFonts w:ascii="Cambria Math" w:hAnsi="Cambria Math"/>
              <w:color w:val="auto"/>
            </w:rPr>
            <m:t>)</m:t>
          </m:r>
        </m:oMath>
      </m:oMathPara>
    </w:p>
    <w:p w14:paraId="2AA49C54" w14:textId="77777777" w:rsidR="001F1479" w:rsidRPr="00CE1A25" w:rsidRDefault="001F1479" w:rsidP="001F1479">
      <w:pPr>
        <w:spacing w:after="0" w:line="280" w:lineRule="exact"/>
        <w:jc w:val="both"/>
        <w:rPr>
          <w:color w:val="auto"/>
        </w:rPr>
      </w:pPr>
      <w:r w:rsidRPr="00CE1A25">
        <w:rPr>
          <w:color w:val="auto"/>
        </w:rPr>
        <w:tab/>
      </w:r>
    </w:p>
    <w:p w14:paraId="3215F85B" w14:textId="4E966104" w:rsidR="001F1479" w:rsidRPr="00CE1A25" w:rsidRDefault="001F1479" w:rsidP="001F1479">
      <w:pPr>
        <w:spacing w:after="0" w:line="280" w:lineRule="exact"/>
        <w:jc w:val="both"/>
        <w:rPr>
          <w:color w:val="auto"/>
        </w:rPr>
      </w:pPr>
      <w:r w:rsidRPr="00CE1A25">
        <w:rPr>
          <w:color w:val="auto"/>
        </w:rPr>
        <w:t>Median Absolute Deviation (MAD) is calculated by finding the absolute difference between each validated data point and the validated sample median</w:t>
      </w:r>
      <w:r w:rsidR="00554E8B" w:rsidRPr="00CE1A25">
        <w:rPr>
          <w:color w:val="auto"/>
        </w:rPr>
        <w:t>,</w:t>
      </w:r>
      <w:r w:rsidRPr="00CE1A25">
        <w:rPr>
          <w:color w:val="auto"/>
        </w:rPr>
        <w:t xml:space="preserve"> and then calculating the median of these absolute differences. </w:t>
      </w:r>
      <w:r w:rsidRPr="00CE1A25">
        <w:rPr>
          <w:rFonts w:eastAsia="Times New Roman"/>
          <w:color w:val="auto"/>
        </w:rPr>
        <w:t xml:space="preserve">For normally distributed data, MAD is multiplied by a constant b = </w:t>
      </w:r>
      <w:r w:rsidRPr="00CE1A25">
        <w:rPr>
          <w:rFonts w:cs="Courier New"/>
          <w:color w:val="auto"/>
          <w:shd w:val="clear" w:color="auto" w:fill="FFFFFF"/>
        </w:rPr>
        <w:t xml:space="preserve">1.4826, however, the distribution is unknown and not symmetric in our data sample. </w:t>
      </w:r>
    </w:p>
    <w:p w14:paraId="0FE5780E" w14:textId="77777777" w:rsidR="001F1479" w:rsidRPr="00CE1A25" w:rsidRDefault="001F1479" w:rsidP="001F1479">
      <w:pPr>
        <w:spacing w:after="0" w:line="280" w:lineRule="exact"/>
        <w:jc w:val="both"/>
        <w:rPr>
          <w:rFonts w:cs="Courier New"/>
          <w:color w:val="auto"/>
          <w:shd w:val="clear" w:color="auto" w:fill="FFFFFF"/>
        </w:rPr>
      </w:pPr>
    </w:p>
    <w:p w14:paraId="713B5F04" w14:textId="77777777" w:rsidR="001F1479" w:rsidRPr="00CE1A25" w:rsidRDefault="001F1479" w:rsidP="001F1479">
      <w:pPr>
        <w:spacing w:after="0" w:line="280" w:lineRule="exact"/>
        <w:jc w:val="both"/>
        <w:rPr>
          <w:rFonts w:cs="Courier New"/>
          <w:color w:val="auto"/>
          <w:shd w:val="clear" w:color="auto" w:fill="FFFFFF"/>
        </w:rPr>
      </w:pPr>
      <w:r w:rsidRPr="00CE1A25">
        <w:rPr>
          <w:rFonts w:cs="Courier New"/>
          <w:color w:val="auto"/>
          <w:shd w:val="clear" w:color="auto" w:fill="FFFFFF"/>
        </w:rPr>
        <w:t>Furthermore, statistically testing for skewness in the sample confirms that the data suffers from a highly asymmetric distribution across all categories. Using a singular Median Absolute Deviation value, disregarding the asymmetry in the distribution, would produce unreliable results. For this reason</w:t>
      </w:r>
      <w:r w:rsidRPr="00CE1A25">
        <w:rPr>
          <w:rFonts w:ascii="Courier New" w:hAnsi="Courier New" w:cs="Courier New"/>
          <w:color w:val="auto"/>
          <w:sz w:val="21"/>
          <w:szCs w:val="21"/>
          <w:shd w:val="clear" w:color="auto" w:fill="FFFFFF"/>
        </w:rPr>
        <w:t>,</w:t>
      </w:r>
      <w:r w:rsidRPr="00CE1A25">
        <w:rPr>
          <w:rFonts w:cs="Courier New"/>
          <w:color w:val="auto"/>
          <w:shd w:val="clear" w:color="auto" w:fill="FFFFFF"/>
        </w:rPr>
        <w:t xml:space="preserve"> we opted for an enhanced method called “Double MAD”.</w:t>
      </w:r>
    </w:p>
    <w:p w14:paraId="0DB9038F" w14:textId="77777777" w:rsidR="001F1479" w:rsidRPr="00CE1A25" w:rsidRDefault="001F1479" w:rsidP="001F1479">
      <w:pPr>
        <w:spacing w:after="0" w:line="280" w:lineRule="exact"/>
        <w:jc w:val="both"/>
        <w:rPr>
          <w:rFonts w:cs="Courier New"/>
          <w:color w:val="auto"/>
          <w:shd w:val="clear" w:color="auto" w:fill="FFFFFF"/>
        </w:rPr>
      </w:pPr>
    </w:p>
    <w:p w14:paraId="1AC7B685" w14:textId="05C4CA0B" w:rsidR="00325DAB" w:rsidRPr="00CE1A25" w:rsidRDefault="001F1479" w:rsidP="00E863D2">
      <w:pPr>
        <w:spacing w:after="0" w:line="280" w:lineRule="exact"/>
        <w:jc w:val="both"/>
        <w:rPr>
          <w:color w:val="auto"/>
        </w:rPr>
      </w:pPr>
      <w:r w:rsidRPr="00CE1A25">
        <w:rPr>
          <w:rFonts w:cs="Courier New"/>
          <w:color w:val="auto"/>
          <w:shd w:val="clear" w:color="auto" w:fill="FFFFFF"/>
        </w:rPr>
        <w:t xml:space="preserve">The premises of this method are similar to the classic version, with the only difference being the calculation of two Median Absolute Deviations: </w:t>
      </w:r>
      <w:r w:rsidR="00554E8B" w:rsidRPr="00CE1A25">
        <w:rPr>
          <w:rFonts w:cs="Courier New"/>
          <w:color w:val="auto"/>
          <w:shd w:val="clear" w:color="auto" w:fill="FFFFFF"/>
        </w:rPr>
        <w:t>(</w:t>
      </w:r>
      <w:r w:rsidRPr="00CE1A25">
        <w:rPr>
          <w:rFonts w:cs="Helvetica"/>
          <w:color w:val="auto"/>
          <w:shd w:val="clear" w:color="auto" w:fill="FFFFFF"/>
        </w:rPr>
        <w:t>1) the median absolute deviation from the median of all points less than or equal to the median and (2) the median absolute deviation from the median of all points greater than or equal to the median</w:t>
      </w:r>
      <w:r w:rsidRPr="00CE1A25">
        <w:rPr>
          <w:rFonts w:eastAsia="Times New Roman"/>
          <w:color w:val="auto"/>
        </w:rPr>
        <w:t>. This allows us to set pertinent outlier thresholds taking into account skewness in the data sample. Finally, for each cost line, we have defined as an outlier any data point which is more than 2 X MAD above or below the median. All such outliers have been excluded from the calculation of median costs in Table 4.</w:t>
      </w:r>
    </w:p>
    <w:p w14:paraId="7435F6A0" w14:textId="77777777" w:rsidR="0068542C" w:rsidRPr="00E527C0" w:rsidRDefault="0068542C" w:rsidP="00E863D2">
      <w:pPr>
        <w:spacing w:after="0" w:line="280" w:lineRule="exact"/>
        <w:jc w:val="both"/>
        <w:rPr>
          <w:color w:val="auto"/>
        </w:rPr>
      </w:pPr>
    </w:p>
    <w:p w14:paraId="00C71E85" w14:textId="4CFBE95C" w:rsidR="005826A0" w:rsidRPr="00FC361D" w:rsidRDefault="005826A0" w:rsidP="005826A0">
      <w:pPr>
        <w:pStyle w:val="Heading2"/>
      </w:pPr>
      <w:bookmarkStart w:id="25" w:name="_Toc116555555"/>
      <w:r>
        <w:t>2.</w:t>
      </w:r>
      <w:r w:rsidR="00DE302D">
        <w:t>7</w:t>
      </w:r>
      <w:r>
        <w:t xml:space="preserve"> </w:t>
      </w:r>
      <w:r w:rsidRPr="00FC361D">
        <w:t>Response rate</w:t>
      </w:r>
      <w:r>
        <w:t>s</w:t>
      </w:r>
      <w:bookmarkEnd w:id="25"/>
    </w:p>
    <w:p w14:paraId="71EA908E" w14:textId="77777777" w:rsidR="005826A0" w:rsidRPr="007376F5" w:rsidRDefault="005826A0" w:rsidP="00297784">
      <w:pPr>
        <w:spacing w:after="0" w:line="280" w:lineRule="exact"/>
        <w:jc w:val="both"/>
        <w:rPr>
          <w:color w:val="auto"/>
          <w:lang w:eastAsia="en-GB"/>
        </w:rPr>
      </w:pPr>
    </w:p>
    <w:p w14:paraId="5B6DAF74" w14:textId="1D93EC24" w:rsidR="00B53ED7" w:rsidRPr="00CE1A25" w:rsidRDefault="00B53ED7" w:rsidP="00297784">
      <w:pPr>
        <w:spacing w:after="0" w:line="280" w:lineRule="exact"/>
        <w:jc w:val="both"/>
        <w:rPr>
          <w:color w:val="auto"/>
        </w:rPr>
      </w:pPr>
      <w:r w:rsidRPr="00CE1A25">
        <w:rPr>
          <w:color w:val="auto"/>
        </w:rPr>
        <w:t>The LaingBuisson team fully validated</w:t>
      </w:r>
      <w:r w:rsidR="00EF47C6" w:rsidRPr="00CE1A25">
        <w:rPr>
          <w:color w:val="auto"/>
        </w:rPr>
        <w:t xml:space="preserve"> 38</w:t>
      </w:r>
      <w:r w:rsidRPr="00CE1A25">
        <w:rPr>
          <w:color w:val="auto"/>
          <w:sz w:val="32"/>
          <w:szCs w:val="32"/>
        </w:rPr>
        <w:t xml:space="preserve"> </w:t>
      </w:r>
      <w:r w:rsidRPr="00CE1A25">
        <w:rPr>
          <w:color w:val="auto"/>
        </w:rPr>
        <w:t>toolkit submissions and partially validated</w:t>
      </w:r>
      <w:r w:rsidR="00EF47C6" w:rsidRPr="00CE1A25">
        <w:rPr>
          <w:color w:val="auto"/>
        </w:rPr>
        <w:t xml:space="preserve"> 3</w:t>
      </w:r>
      <w:r w:rsidRPr="00CE1A25">
        <w:rPr>
          <w:color w:val="auto"/>
        </w:rPr>
        <w:t xml:space="preserve"> toolkit submissions, the latter being care home</w:t>
      </w:r>
      <w:r w:rsidR="00EF47C6" w:rsidRPr="00CE1A25">
        <w:rPr>
          <w:color w:val="auto"/>
        </w:rPr>
        <w:t>s</w:t>
      </w:r>
      <w:r w:rsidRPr="00CE1A25">
        <w:rPr>
          <w:color w:val="auto"/>
        </w:rPr>
        <w:t xml:space="preserve"> for which some (but not all) of the cost lines had been validated. Adding the two together, the</w:t>
      </w:r>
      <w:r w:rsidR="00EF47C6" w:rsidRPr="00CE1A25">
        <w:rPr>
          <w:color w:val="auto"/>
        </w:rPr>
        <w:t xml:space="preserve"> 41</w:t>
      </w:r>
      <w:r w:rsidRPr="00CE1A25">
        <w:rPr>
          <w:color w:val="auto"/>
          <w:sz w:val="32"/>
        </w:rPr>
        <w:t xml:space="preserve"> </w:t>
      </w:r>
      <w:r w:rsidRPr="00CE1A25">
        <w:rPr>
          <w:color w:val="auto"/>
        </w:rPr>
        <w:t>fully or partially validated toolkits represents a response rate of</w:t>
      </w:r>
      <w:r w:rsidR="00EF47C6" w:rsidRPr="00CE1A25">
        <w:rPr>
          <w:color w:val="auto"/>
        </w:rPr>
        <w:t xml:space="preserve"> 59</w:t>
      </w:r>
      <w:r w:rsidRPr="00CE1A25">
        <w:rPr>
          <w:color w:val="auto"/>
        </w:rPr>
        <w:t xml:space="preserve">% of care homes in scope </w:t>
      </w:r>
      <w:r w:rsidR="00EF47C6" w:rsidRPr="00CE1A25">
        <w:rPr>
          <w:color w:val="auto"/>
        </w:rPr>
        <w:t>(56</w:t>
      </w:r>
      <w:r w:rsidRPr="00CE1A25">
        <w:rPr>
          <w:color w:val="auto"/>
        </w:rPr>
        <w:t>% for nursing homes and</w:t>
      </w:r>
      <w:r w:rsidR="00EF47C6" w:rsidRPr="00CE1A25">
        <w:rPr>
          <w:color w:val="auto"/>
        </w:rPr>
        <w:t xml:space="preserve"> 62</w:t>
      </w:r>
      <w:r w:rsidRPr="00CE1A25">
        <w:rPr>
          <w:color w:val="auto"/>
        </w:rPr>
        <w:t xml:space="preserve">% for residential homes). For some individual cost lines, the effective response rate was higher and for some it was lower, see Table 4 for the number of respondents (in brackets) for each individual cost line. </w:t>
      </w:r>
    </w:p>
    <w:p w14:paraId="19F0D8CC" w14:textId="77777777" w:rsidR="00B53ED7" w:rsidRPr="00CE1A25" w:rsidRDefault="00B53ED7" w:rsidP="00297784">
      <w:pPr>
        <w:spacing w:after="0" w:line="280" w:lineRule="exact"/>
        <w:jc w:val="both"/>
        <w:rPr>
          <w:color w:val="auto"/>
        </w:rPr>
      </w:pPr>
    </w:p>
    <w:p w14:paraId="47B9D3EA" w14:textId="77777777" w:rsidR="00B53ED7" w:rsidRPr="00CE1A25" w:rsidRDefault="00B53ED7" w:rsidP="00297784">
      <w:pPr>
        <w:spacing w:after="0" w:line="280" w:lineRule="exact"/>
        <w:jc w:val="both"/>
        <w:rPr>
          <w:color w:val="auto"/>
        </w:rPr>
      </w:pPr>
      <w:bookmarkStart w:id="26" w:name="_Hlk115511375"/>
      <w:r w:rsidRPr="00CE1A25">
        <w:rPr>
          <w:color w:val="auto"/>
        </w:rPr>
        <w:t>The overall validated and partially validated response rate was higher than the 32%</w:t>
      </w:r>
      <w:r w:rsidRPr="00CE1A25">
        <w:rPr>
          <w:rStyle w:val="FootnoteReference"/>
          <w:color w:val="auto"/>
        </w:rPr>
        <w:footnoteReference w:id="6"/>
      </w:r>
      <w:r w:rsidRPr="00CE1A25">
        <w:rPr>
          <w:color w:val="auto"/>
        </w:rPr>
        <w:t xml:space="preserve"> achieved across all local authorities in England in the summer 2022 FCoC exercise.</w:t>
      </w:r>
    </w:p>
    <w:bookmarkEnd w:id="26"/>
    <w:p w14:paraId="3F038EA0" w14:textId="77777777" w:rsidR="00B53ED7" w:rsidRPr="00CE1A25" w:rsidRDefault="00B53ED7" w:rsidP="00297784">
      <w:pPr>
        <w:spacing w:after="0" w:line="280" w:lineRule="exact"/>
        <w:jc w:val="both"/>
        <w:rPr>
          <w:color w:val="auto"/>
        </w:rPr>
      </w:pPr>
    </w:p>
    <w:p w14:paraId="1ADD7B16" w14:textId="4E03BEA5" w:rsidR="005826A0" w:rsidRPr="00CE1A25" w:rsidRDefault="00B53ED7" w:rsidP="00B53ED7">
      <w:pPr>
        <w:tabs>
          <w:tab w:val="left" w:pos="9950"/>
        </w:tabs>
        <w:spacing w:after="0" w:line="280" w:lineRule="exact"/>
        <w:jc w:val="both"/>
        <w:rPr>
          <w:color w:val="auto"/>
        </w:rPr>
      </w:pPr>
      <w:r w:rsidRPr="00CE1A25">
        <w:rPr>
          <w:color w:val="auto"/>
        </w:rPr>
        <w:t xml:space="preserve">Table 2 segments response rates according to key care home characteristics which might have a bearing on costs., Segments which are over-represented include </w:t>
      </w:r>
      <w:r w:rsidR="00EF47C6" w:rsidRPr="00CE1A25">
        <w:rPr>
          <w:color w:val="auto"/>
          <w:lang w:eastAsia="en-GB"/>
        </w:rPr>
        <w:t>strategic providers and large corporate group operated homes. Conversely, small group and non-affiliated homes are under-represented.</w:t>
      </w:r>
    </w:p>
    <w:p w14:paraId="58F5DB94" w14:textId="77777777" w:rsidR="00B53ED7" w:rsidRPr="00CE1A25" w:rsidRDefault="00B53ED7" w:rsidP="00B53ED7">
      <w:pPr>
        <w:tabs>
          <w:tab w:val="left" w:pos="9950"/>
        </w:tabs>
        <w:spacing w:after="0" w:line="280" w:lineRule="exact"/>
        <w:jc w:val="both"/>
        <w:rPr>
          <w:color w:val="auto"/>
          <w:lang w:eastAsia="en-GB"/>
        </w:rPr>
      </w:pPr>
    </w:p>
    <w:p w14:paraId="3DC7AE3E" w14:textId="1CA42D24" w:rsidR="005826A0" w:rsidRPr="00CE1A25" w:rsidRDefault="005826A0" w:rsidP="00453105">
      <w:pPr>
        <w:pStyle w:val="TABLES"/>
        <w:rPr>
          <w:color w:val="auto"/>
        </w:rPr>
      </w:pPr>
      <w:r w:rsidRPr="00CE1A25">
        <w:rPr>
          <w:color w:val="auto"/>
        </w:rPr>
        <w:t xml:space="preserve">Table 2 – Segmented response rates </w:t>
      </w:r>
      <w:r w:rsidR="00D204FB" w:rsidRPr="00CE1A25">
        <w:rPr>
          <w:color w:val="auto"/>
        </w:rPr>
        <w:t>(validated</w:t>
      </w:r>
      <w:r w:rsidR="0099145A" w:rsidRPr="00CE1A25">
        <w:rPr>
          <w:color w:val="auto"/>
        </w:rPr>
        <w:t xml:space="preserve"> plus partially validated</w:t>
      </w:r>
      <w:r w:rsidR="00D204FB" w:rsidRPr="00CE1A25">
        <w:rPr>
          <w:color w:val="auto"/>
        </w:rPr>
        <w:t xml:space="preserve">) </w:t>
      </w:r>
      <w:r w:rsidRPr="00CE1A25">
        <w:rPr>
          <w:color w:val="auto"/>
        </w:rPr>
        <w:t>by key characteristics</w:t>
      </w:r>
      <w:r w:rsidR="00A72D92" w:rsidRPr="00CE1A25">
        <w:rPr>
          <w:color w:val="auto"/>
        </w:rPr>
        <w:t xml:space="preserve"> </w:t>
      </w:r>
    </w:p>
    <w:tbl>
      <w:tblPr>
        <w:tblW w:w="14029" w:type="dxa"/>
        <w:tblLayout w:type="fixed"/>
        <w:tblLook w:val="04A0" w:firstRow="1" w:lastRow="0" w:firstColumn="1" w:lastColumn="0" w:noHBand="0" w:noVBand="1"/>
      </w:tblPr>
      <w:tblGrid>
        <w:gridCol w:w="3397"/>
        <w:gridCol w:w="1772"/>
        <w:gridCol w:w="1772"/>
        <w:gridCol w:w="1772"/>
        <w:gridCol w:w="1772"/>
        <w:gridCol w:w="1772"/>
        <w:gridCol w:w="1772"/>
      </w:tblGrid>
      <w:tr w:rsidR="00CE1A25" w:rsidRPr="00CE1A25" w14:paraId="12ABB27D" w14:textId="77777777" w:rsidTr="007C4C3E">
        <w:trPr>
          <w:trHeight w:val="227"/>
        </w:trPr>
        <w:tc>
          <w:tcPr>
            <w:tcW w:w="3397" w:type="dxa"/>
            <w:tcBorders>
              <w:top w:val="single" w:sz="4" w:space="0" w:color="auto"/>
              <w:left w:val="single" w:sz="4" w:space="0" w:color="auto"/>
              <w:bottom w:val="single" w:sz="4" w:space="0" w:color="auto"/>
              <w:right w:val="nil"/>
            </w:tcBorders>
            <w:shd w:val="clear" w:color="auto" w:fill="auto"/>
            <w:noWrap/>
            <w:vAlign w:val="bottom"/>
          </w:tcPr>
          <w:p w14:paraId="263013B4" w14:textId="77777777" w:rsidR="00D77630" w:rsidRPr="00CE1A25" w:rsidRDefault="00D77630" w:rsidP="004E4EE5">
            <w:pPr>
              <w:spacing w:after="0" w:line="240" w:lineRule="auto"/>
              <w:rPr>
                <w:rFonts w:ascii="Calibri" w:eastAsia="Times New Roman" w:hAnsi="Calibri" w:cs="Calibri"/>
                <w:color w:val="auto"/>
                <w:lang w:eastAsia="en-GB"/>
              </w:rPr>
            </w:pPr>
          </w:p>
        </w:tc>
        <w:tc>
          <w:tcPr>
            <w:tcW w:w="5316"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14:paraId="4C67CC23" w14:textId="3870D80C" w:rsidR="00D77630" w:rsidRPr="00CE1A25" w:rsidRDefault="00D77630" w:rsidP="007C4C3E">
            <w:pPr>
              <w:spacing w:after="0" w:line="240" w:lineRule="auto"/>
              <w:jc w:val="center"/>
              <w:rPr>
                <w:rFonts w:eastAsia="Times New Roman" w:cs="Calibri"/>
                <w:color w:val="auto"/>
                <w:lang w:eastAsia="en-GB"/>
              </w:rPr>
            </w:pPr>
            <w:r w:rsidRPr="00CE1A25">
              <w:rPr>
                <w:rFonts w:eastAsia="Times New Roman" w:cs="Calibri"/>
                <w:color w:val="auto"/>
                <w:lang w:eastAsia="en-GB"/>
              </w:rPr>
              <w:t>Nursing Homes</w:t>
            </w:r>
          </w:p>
        </w:tc>
        <w:tc>
          <w:tcPr>
            <w:tcW w:w="5316" w:type="dxa"/>
            <w:gridSpan w:val="3"/>
            <w:tcBorders>
              <w:top w:val="single" w:sz="4" w:space="0" w:color="auto"/>
              <w:left w:val="nil"/>
              <w:bottom w:val="single" w:sz="4" w:space="0" w:color="auto"/>
              <w:right w:val="single" w:sz="4" w:space="0" w:color="auto"/>
            </w:tcBorders>
            <w:shd w:val="clear" w:color="auto" w:fill="auto"/>
            <w:noWrap/>
            <w:vAlign w:val="center"/>
          </w:tcPr>
          <w:p w14:paraId="53F90117" w14:textId="1A2EB605" w:rsidR="00D77630" w:rsidRPr="00CE1A25" w:rsidRDefault="00D77630" w:rsidP="007C4C3E">
            <w:pPr>
              <w:spacing w:after="0" w:line="240" w:lineRule="auto"/>
              <w:jc w:val="center"/>
              <w:rPr>
                <w:rFonts w:eastAsia="Times New Roman" w:cs="Calibri"/>
                <w:color w:val="auto"/>
                <w:lang w:eastAsia="en-GB"/>
              </w:rPr>
            </w:pPr>
            <w:r w:rsidRPr="00CE1A25">
              <w:rPr>
                <w:rFonts w:eastAsia="Times New Roman" w:cs="Calibri"/>
                <w:color w:val="auto"/>
                <w:lang w:eastAsia="en-GB"/>
              </w:rPr>
              <w:t>Residential Homes</w:t>
            </w:r>
          </w:p>
        </w:tc>
      </w:tr>
      <w:tr w:rsidR="00CE1A25" w:rsidRPr="00CE1A25" w14:paraId="3759B740" w14:textId="77777777" w:rsidTr="007C4C3E">
        <w:trPr>
          <w:trHeight w:val="227"/>
        </w:trPr>
        <w:tc>
          <w:tcPr>
            <w:tcW w:w="3397" w:type="dxa"/>
            <w:tcBorders>
              <w:top w:val="single" w:sz="4" w:space="0" w:color="auto"/>
              <w:left w:val="single" w:sz="4" w:space="0" w:color="auto"/>
              <w:bottom w:val="single" w:sz="4" w:space="0" w:color="auto"/>
              <w:right w:val="nil"/>
            </w:tcBorders>
            <w:shd w:val="clear" w:color="auto" w:fill="auto"/>
            <w:noWrap/>
            <w:vAlign w:val="bottom"/>
          </w:tcPr>
          <w:p w14:paraId="179CD7EF" w14:textId="2D351319" w:rsidR="00D77630" w:rsidRPr="00CE1A25" w:rsidRDefault="00D77630" w:rsidP="00212676">
            <w:pPr>
              <w:rPr>
                <w:rFonts w:ascii="Calibri" w:hAnsi="Calibri" w:cs="Calibri"/>
                <w:color w:val="auto"/>
              </w:rPr>
            </w:pPr>
          </w:p>
        </w:tc>
        <w:tc>
          <w:tcPr>
            <w:tcW w:w="17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714B626" w14:textId="5E7F2476"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Respondents</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709CD733" w14:textId="5DD2FE28"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Homes in scope with the relevant characteristic</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4BF8A20F" w14:textId="75799CDD"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Response rate (%)</w:t>
            </w:r>
          </w:p>
        </w:tc>
        <w:tc>
          <w:tcPr>
            <w:tcW w:w="1772" w:type="dxa"/>
            <w:tcBorders>
              <w:top w:val="single" w:sz="4" w:space="0" w:color="auto"/>
              <w:left w:val="nil"/>
              <w:bottom w:val="single" w:sz="4" w:space="0" w:color="auto"/>
              <w:right w:val="nil"/>
            </w:tcBorders>
            <w:shd w:val="clear" w:color="auto" w:fill="auto"/>
            <w:noWrap/>
            <w:vAlign w:val="center"/>
          </w:tcPr>
          <w:p w14:paraId="1C6DEDE5" w14:textId="78937644"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Respondents</w:t>
            </w:r>
          </w:p>
        </w:tc>
        <w:tc>
          <w:tcPr>
            <w:tcW w:w="17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04C38DE" w14:textId="4C2D0098"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Homes in scope with the relevant characteristic</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472E6BD9" w14:textId="757CA4A7" w:rsidR="00D77630" w:rsidRPr="00CE1A25" w:rsidRDefault="00D77630" w:rsidP="00D77630">
            <w:pPr>
              <w:spacing w:after="0" w:line="240" w:lineRule="auto"/>
              <w:jc w:val="right"/>
              <w:rPr>
                <w:rFonts w:eastAsia="Times New Roman" w:cs="Calibri"/>
                <w:color w:val="auto"/>
                <w:lang w:eastAsia="en-GB"/>
              </w:rPr>
            </w:pPr>
            <w:r w:rsidRPr="00CE1A25">
              <w:rPr>
                <w:rFonts w:eastAsia="Times New Roman" w:cs="Calibri"/>
                <w:color w:val="auto"/>
                <w:lang w:eastAsia="en-GB"/>
              </w:rPr>
              <w:t>Response rate (%)</w:t>
            </w:r>
          </w:p>
        </w:tc>
      </w:tr>
      <w:tr w:rsidR="00CE1A25" w:rsidRPr="00CE1A25" w14:paraId="5FB96DEC" w14:textId="77777777" w:rsidTr="007C4C3E">
        <w:trPr>
          <w:trHeight w:val="227"/>
        </w:trPr>
        <w:tc>
          <w:tcPr>
            <w:tcW w:w="3397" w:type="dxa"/>
            <w:tcBorders>
              <w:top w:val="single" w:sz="4" w:space="0" w:color="auto"/>
              <w:left w:val="single" w:sz="4" w:space="0" w:color="auto"/>
              <w:bottom w:val="single" w:sz="4" w:space="0" w:color="auto"/>
              <w:right w:val="nil"/>
            </w:tcBorders>
            <w:shd w:val="clear" w:color="auto" w:fill="auto"/>
            <w:noWrap/>
            <w:vAlign w:val="bottom"/>
            <w:hideMark/>
          </w:tcPr>
          <w:p w14:paraId="7ADC9772" w14:textId="08F6D5F7" w:rsidR="00EB1730" w:rsidRPr="00CE1A25" w:rsidRDefault="00EB1730" w:rsidP="00EB1730">
            <w:pPr>
              <w:spacing w:after="0" w:line="240" w:lineRule="auto"/>
              <w:rPr>
                <w:rFonts w:ascii="Calibri" w:eastAsia="Times New Roman" w:hAnsi="Calibri" w:cs="Calibri"/>
                <w:color w:val="auto"/>
                <w:lang w:eastAsia="en-GB"/>
              </w:rPr>
            </w:pPr>
            <w:r w:rsidRPr="00CE1A25">
              <w:rPr>
                <w:color w:val="auto"/>
              </w:rPr>
              <w:t>Total fully or partially validated</w:t>
            </w:r>
          </w:p>
        </w:tc>
        <w:tc>
          <w:tcPr>
            <w:tcW w:w="17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AAE812" w14:textId="2C93430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20</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6695FDE3" w14:textId="287F18D2"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36</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2339D757" w14:textId="2EE7E963"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56%</w:t>
            </w:r>
          </w:p>
        </w:tc>
        <w:tc>
          <w:tcPr>
            <w:tcW w:w="1772" w:type="dxa"/>
            <w:tcBorders>
              <w:top w:val="single" w:sz="4" w:space="0" w:color="auto"/>
              <w:left w:val="nil"/>
              <w:bottom w:val="single" w:sz="4" w:space="0" w:color="auto"/>
              <w:right w:val="nil"/>
            </w:tcBorders>
            <w:shd w:val="clear" w:color="auto" w:fill="auto"/>
            <w:noWrap/>
            <w:vAlign w:val="center"/>
          </w:tcPr>
          <w:p w14:paraId="7D06F154" w14:textId="11F13E2E"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21</w:t>
            </w:r>
          </w:p>
        </w:tc>
        <w:tc>
          <w:tcPr>
            <w:tcW w:w="1772"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E6523B9" w14:textId="6EEB1B9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34</w:t>
            </w:r>
          </w:p>
        </w:tc>
        <w:tc>
          <w:tcPr>
            <w:tcW w:w="1772" w:type="dxa"/>
            <w:tcBorders>
              <w:top w:val="single" w:sz="4" w:space="0" w:color="auto"/>
              <w:left w:val="nil"/>
              <w:bottom w:val="single" w:sz="4" w:space="0" w:color="auto"/>
              <w:right w:val="single" w:sz="4" w:space="0" w:color="auto"/>
            </w:tcBorders>
            <w:shd w:val="clear" w:color="auto" w:fill="auto"/>
            <w:noWrap/>
            <w:vAlign w:val="center"/>
          </w:tcPr>
          <w:p w14:paraId="59181B97" w14:textId="4C8D4DA3"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62%</w:t>
            </w:r>
          </w:p>
        </w:tc>
      </w:tr>
      <w:tr w:rsidR="00CE1A25" w:rsidRPr="00CE1A25" w14:paraId="37B0E366"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7CE9FDB7"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Strategic providers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7B7481F" w14:textId="63E8367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11</w:t>
            </w:r>
          </w:p>
        </w:tc>
        <w:tc>
          <w:tcPr>
            <w:tcW w:w="1772" w:type="dxa"/>
            <w:tcBorders>
              <w:top w:val="nil"/>
              <w:left w:val="nil"/>
              <w:bottom w:val="single" w:sz="4" w:space="0" w:color="auto"/>
              <w:right w:val="single" w:sz="4" w:space="0" w:color="auto"/>
            </w:tcBorders>
            <w:shd w:val="clear" w:color="auto" w:fill="auto"/>
            <w:noWrap/>
            <w:vAlign w:val="center"/>
          </w:tcPr>
          <w:p w14:paraId="0D56A3CF" w14:textId="5E7E3B4F"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13</w:t>
            </w:r>
          </w:p>
        </w:tc>
        <w:tc>
          <w:tcPr>
            <w:tcW w:w="1772" w:type="dxa"/>
            <w:tcBorders>
              <w:top w:val="nil"/>
              <w:left w:val="nil"/>
              <w:bottom w:val="single" w:sz="4" w:space="0" w:color="auto"/>
              <w:right w:val="single" w:sz="4" w:space="0" w:color="auto"/>
            </w:tcBorders>
            <w:shd w:val="clear" w:color="auto" w:fill="auto"/>
            <w:noWrap/>
            <w:vAlign w:val="center"/>
          </w:tcPr>
          <w:p w14:paraId="4FD6E7CF" w14:textId="2BB63BD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85%</w:t>
            </w:r>
          </w:p>
        </w:tc>
        <w:tc>
          <w:tcPr>
            <w:tcW w:w="1772" w:type="dxa"/>
            <w:tcBorders>
              <w:top w:val="nil"/>
              <w:left w:val="nil"/>
              <w:bottom w:val="single" w:sz="4" w:space="0" w:color="auto"/>
              <w:right w:val="nil"/>
            </w:tcBorders>
            <w:shd w:val="clear" w:color="auto" w:fill="auto"/>
            <w:noWrap/>
            <w:vAlign w:val="center"/>
          </w:tcPr>
          <w:p w14:paraId="0287BF1A" w14:textId="092351E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15</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2CBB0630" w14:textId="2B0A8CE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15</w:t>
            </w:r>
          </w:p>
        </w:tc>
        <w:tc>
          <w:tcPr>
            <w:tcW w:w="1772" w:type="dxa"/>
            <w:tcBorders>
              <w:top w:val="nil"/>
              <w:left w:val="nil"/>
              <w:bottom w:val="single" w:sz="4" w:space="0" w:color="auto"/>
              <w:right w:val="single" w:sz="4" w:space="0" w:color="auto"/>
            </w:tcBorders>
            <w:shd w:val="clear" w:color="auto" w:fill="auto"/>
            <w:noWrap/>
            <w:vAlign w:val="center"/>
          </w:tcPr>
          <w:p w14:paraId="1DE92CB1" w14:textId="4ECC15F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100%</w:t>
            </w:r>
          </w:p>
        </w:tc>
      </w:tr>
      <w:tr w:rsidR="00CE1A25" w:rsidRPr="00CE1A25" w14:paraId="6AB30DB7"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15CBC4FD" w14:textId="77777777" w:rsidR="00EB1730" w:rsidRPr="00CE1A25" w:rsidRDefault="00EB1730" w:rsidP="00EB1730">
            <w:pPr>
              <w:spacing w:after="0" w:line="240" w:lineRule="auto"/>
              <w:rPr>
                <w:rFonts w:ascii="Calibri" w:eastAsia="Times New Roman" w:hAnsi="Calibri" w:cs="Calibri"/>
                <w:b/>
                <w:bCs/>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550E265"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4B0A1748"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5D2BEFC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799AC88F"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20D0E4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09E9D593"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134400B4"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6A6350BA" w14:textId="658333A6" w:rsidR="00EB1730" w:rsidRPr="00CE1A25" w:rsidRDefault="00EB1730" w:rsidP="00EB1730">
            <w:pPr>
              <w:spacing w:after="0" w:line="240" w:lineRule="auto"/>
              <w:rPr>
                <w:rFonts w:ascii="Calibri" w:eastAsia="Times New Roman" w:hAnsi="Calibri" w:cs="Calibri"/>
                <w:b/>
                <w:bCs/>
                <w:color w:val="auto"/>
                <w:lang w:eastAsia="en-GB"/>
              </w:rPr>
            </w:pPr>
            <w:r w:rsidRPr="00CE1A25">
              <w:rPr>
                <w:rFonts w:ascii="Calibri" w:eastAsia="Times New Roman" w:hAnsi="Calibri" w:cs="Calibri"/>
                <w:b/>
                <w:bCs/>
                <w:color w:val="auto"/>
                <w:lang w:eastAsia="en-GB"/>
              </w:rPr>
              <w:t>Provider sector</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7F1CEF78"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141BD11F"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0A3255ED"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4817196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9362FA7"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6ECEEC16"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04D9D04E"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711E7AEB"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For-profit</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95E7DBC" w14:textId="067295D9"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19</w:t>
            </w:r>
          </w:p>
        </w:tc>
        <w:tc>
          <w:tcPr>
            <w:tcW w:w="1772" w:type="dxa"/>
            <w:tcBorders>
              <w:top w:val="nil"/>
              <w:left w:val="nil"/>
              <w:bottom w:val="single" w:sz="4" w:space="0" w:color="auto"/>
              <w:right w:val="single" w:sz="4" w:space="0" w:color="auto"/>
            </w:tcBorders>
            <w:shd w:val="clear" w:color="auto" w:fill="auto"/>
            <w:noWrap/>
            <w:vAlign w:val="center"/>
          </w:tcPr>
          <w:p w14:paraId="790A7294" w14:textId="74EB4A65"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33</w:t>
            </w:r>
          </w:p>
        </w:tc>
        <w:tc>
          <w:tcPr>
            <w:tcW w:w="1772" w:type="dxa"/>
            <w:tcBorders>
              <w:top w:val="nil"/>
              <w:left w:val="nil"/>
              <w:bottom w:val="single" w:sz="4" w:space="0" w:color="auto"/>
              <w:right w:val="single" w:sz="4" w:space="0" w:color="auto"/>
            </w:tcBorders>
            <w:shd w:val="clear" w:color="auto" w:fill="auto"/>
            <w:noWrap/>
            <w:vAlign w:val="center"/>
          </w:tcPr>
          <w:p w14:paraId="20DA9D71" w14:textId="0191F71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58%</w:t>
            </w:r>
          </w:p>
        </w:tc>
        <w:tc>
          <w:tcPr>
            <w:tcW w:w="1772" w:type="dxa"/>
            <w:tcBorders>
              <w:top w:val="nil"/>
              <w:left w:val="nil"/>
              <w:bottom w:val="single" w:sz="4" w:space="0" w:color="auto"/>
              <w:right w:val="nil"/>
            </w:tcBorders>
            <w:shd w:val="clear" w:color="auto" w:fill="auto"/>
            <w:noWrap/>
            <w:vAlign w:val="center"/>
          </w:tcPr>
          <w:p w14:paraId="7DD6AD52" w14:textId="57C1AEB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7</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2FC4289D" w14:textId="3C5939AA"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20</w:t>
            </w:r>
          </w:p>
        </w:tc>
        <w:tc>
          <w:tcPr>
            <w:tcW w:w="1772" w:type="dxa"/>
            <w:tcBorders>
              <w:top w:val="nil"/>
              <w:left w:val="nil"/>
              <w:bottom w:val="single" w:sz="4" w:space="0" w:color="auto"/>
              <w:right w:val="single" w:sz="4" w:space="0" w:color="auto"/>
            </w:tcBorders>
            <w:shd w:val="clear" w:color="auto" w:fill="auto"/>
            <w:noWrap/>
            <w:vAlign w:val="center"/>
          </w:tcPr>
          <w:p w14:paraId="1356D266" w14:textId="46060C1E"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35%</w:t>
            </w:r>
          </w:p>
        </w:tc>
      </w:tr>
      <w:tr w:rsidR="00CE1A25" w:rsidRPr="00CE1A25" w14:paraId="0A6DA5E2"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297E2AE0"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Not-for-profit</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683FA472" w14:textId="710BC12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w:t>
            </w:r>
          </w:p>
        </w:tc>
        <w:tc>
          <w:tcPr>
            <w:tcW w:w="1772" w:type="dxa"/>
            <w:tcBorders>
              <w:top w:val="nil"/>
              <w:left w:val="nil"/>
              <w:bottom w:val="single" w:sz="4" w:space="0" w:color="auto"/>
              <w:right w:val="single" w:sz="4" w:space="0" w:color="auto"/>
            </w:tcBorders>
            <w:shd w:val="clear" w:color="auto" w:fill="auto"/>
            <w:noWrap/>
            <w:vAlign w:val="center"/>
          </w:tcPr>
          <w:p w14:paraId="6C9497C8" w14:textId="6AFEB2D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w:t>
            </w:r>
          </w:p>
        </w:tc>
        <w:tc>
          <w:tcPr>
            <w:tcW w:w="1772" w:type="dxa"/>
            <w:tcBorders>
              <w:top w:val="nil"/>
              <w:left w:val="nil"/>
              <w:bottom w:val="single" w:sz="4" w:space="0" w:color="auto"/>
              <w:right w:val="single" w:sz="4" w:space="0" w:color="auto"/>
            </w:tcBorders>
            <w:shd w:val="clear" w:color="auto" w:fill="auto"/>
            <w:noWrap/>
            <w:vAlign w:val="center"/>
          </w:tcPr>
          <w:p w14:paraId="1B8FC2DA" w14:textId="4820A81E"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33%</w:t>
            </w:r>
          </w:p>
        </w:tc>
        <w:tc>
          <w:tcPr>
            <w:tcW w:w="1772" w:type="dxa"/>
            <w:tcBorders>
              <w:top w:val="nil"/>
              <w:left w:val="nil"/>
              <w:bottom w:val="single" w:sz="4" w:space="0" w:color="auto"/>
              <w:right w:val="nil"/>
            </w:tcBorders>
            <w:shd w:val="clear" w:color="auto" w:fill="auto"/>
            <w:noWrap/>
            <w:vAlign w:val="center"/>
          </w:tcPr>
          <w:p w14:paraId="7532EDF3" w14:textId="27DE6D07"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14</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DDF6B6E" w14:textId="1B096F2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14</w:t>
            </w:r>
          </w:p>
        </w:tc>
        <w:tc>
          <w:tcPr>
            <w:tcW w:w="1772" w:type="dxa"/>
            <w:tcBorders>
              <w:top w:val="nil"/>
              <w:left w:val="nil"/>
              <w:bottom w:val="single" w:sz="4" w:space="0" w:color="auto"/>
              <w:right w:val="single" w:sz="4" w:space="0" w:color="auto"/>
            </w:tcBorders>
            <w:shd w:val="clear" w:color="auto" w:fill="auto"/>
            <w:noWrap/>
            <w:vAlign w:val="center"/>
          </w:tcPr>
          <w:p w14:paraId="3F292105" w14:textId="53F8E05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100%</w:t>
            </w:r>
          </w:p>
        </w:tc>
      </w:tr>
      <w:tr w:rsidR="00CE1A25" w:rsidRPr="00CE1A25" w14:paraId="58270A59"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10B78770" w14:textId="77777777" w:rsidR="00EB1730" w:rsidRPr="00CE1A25" w:rsidRDefault="00EB1730" w:rsidP="00EB1730">
            <w:pPr>
              <w:spacing w:after="0" w:line="240" w:lineRule="auto"/>
              <w:rPr>
                <w:rFonts w:ascii="Calibri" w:eastAsia="Times New Roman" w:hAnsi="Calibri"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6BD392A0"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EACF425"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3C1EF833"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0B247E51"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20EAF5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58693BC6"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5471FAA8"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0F2C6EE7" w14:textId="136C73CE" w:rsidR="00EB1730" w:rsidRPr="00CE1A25" w:rsidRDefault="00EB1730" w:rsidP="00EB1730">
            <w:pPr>
              <w:spacing w:after="0" w:line="240" w:lineRule="auto"/>
              <w:rPr>
                <w:rFonts w:ascii="Calibri" w:eastAsia="Times New Roman" w:hAnsi="Calibri" w:cs="Calibri"/>
                <w:b/>
                <w:bCs/>
                <w:color w:val="auto"/>
                <w:lang w:eastAsia="en-GB"/>
              </w:rPr>
            </w:pPr>
            <w:r w:rsidRPr="00CE1A25">
              <w:rPr>
                <w:rFonts w:ascii="Calibri" w:eastAsia="Times New Roman" w:hAnsi="Calibri" w:cs="Calibri"/>
                <w:b/>
                <w:bCs/>
                <w:color w:val="auto"/>
                <w:lang w:eastAsia="en-GB"/>
              </w:rPr>
              <w:t>Build status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6A75B8D"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4D6FFC93"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5C3970C3"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22A7CF1E"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AC1896B"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0DC18758"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50DBC55D"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2778CBA6"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Purpose built</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60296390" w14:textId="0DC3288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16</w:t>
            </w:r>
          </w:p>
        </w:tc>
        <w:tc>
          <w:tcPr>
            <w:tcW w:w="1772" w:type="dxa"/>
            <w:tcBorders>
              <w:top w:val="nil"/>
              <w:left w:val="nil"/>
              <w:bottom w:val="single" w:sz="4" w:space="0" w:color="auto"/>
              <w:right w:val="single" w:sz="4" w:space="0" w:color="auto"/>
            </w:tcBorders>
            <w:shd w:val="clear" w:color="auto" w:fill="auto"/>
            <w:noWrap/>
            <w:vAlign w:val="center"/>
          </w:tcPr>
          <w:p w14:paraId="2EDD775C" w14:textId="12F74C8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28</w:t>
            </w:r>
          </w:p>
        </w:tc>
        <w:tc>
          <w:tcPr>
            <w:tcW w:w="1772" w:type="dxa"/>
            <w:tcBorders>
              <w:top w:val="nil"/>
              <w:left w:val="nil"/>
              <w:bottom w:val="single" w:sz="4" w:space="0" w:color="auto"/>
              <w:right w:val="single" w:sz="4" w:space="0" w:color="auto"/>
            </w:tcBorders>
            <w:shd w:val="clear" w:color="auto" w:fill="auto"/>
            <w:noWrap/>
            <w:vAlign w:val="center"/>
          </w:tcPr>
          <w:p w14:paraId="0138DB6B" w14:textId="343F2CA2"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57%</w:t>
            </w:r>
          </w:p>
        </w:tc>
        <w:tc>
          <w:tcPr>
            <w:tcW w:w="1772" w:type="dxa"/>
            <w:tcBorders>
              <w:top w:val="nil"/>
              <w:left w:val="nil"/>
              <w:bottom w:val="single" w:sz="4" w:space="0" w:color="auto"/>
              <w:right w:val="nil"/>
            </w:tcBorders>
            <w:shd w:val="clear" w:color="auto" w:fill="auto"/>
            <w:noWrap/>
            <w:vAlign w:val="center"/>
          </w:tcPr>
          <w:p w14:paraId="7D4646EC" w14:textId="76A02408"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16</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C1BCEA4" w14:textId="7893374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19</w:t>
            </w:r>
          </w:p>
        </w:tc>
        <w:tc>
          <w:tcPr>
            <w:tcW w:w="1772" w:type="dxa"/>
            <w:tcBorders>
              <w:top w:val="nil"/>
              <w:left w:val="nil"/>
              <w:bottom w:val="single" w:sz="4" w:space="0" w:color="auto"/>
              <w:right w:val="single" w:sz="4" w:space="0" w:color="auto"/>
            </w:tcBorders>
            <w:shd w:val="clear" w:color="auto" w:fill="auto"/>
            <w:noWrap/>
            <w:vAlign w:val="center"/>
          </w:tcPr>
          <w:p w14:paraId="21D30ED2" w14:textId="42BD4A22"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84%</w:t>
            </w:r>
          </w:p>
        </w:tc>
      </w:tr>
      <w:tr w:rsidR="00CE1A25" w:rsidRPr="00CE1A25" w14:paraId="49C67755"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3BBFD105"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Not purpose built</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8C27ABE" w14:textId="72D1C70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w:t>
            </w:r>
          </w:p>
        </w:tc>
        <w:tc>
          <w:tcPr>
            <w:tcW w:w="1772" w:type="dxa"/>
            <w:tcBorders>
              <w:top w:val="nil"/>
              <w:left w:val="nil"/>
              <w:bottom w:val="single" w:sz="4" w:space="0" w:color="auto"/>
              <w:right w:val="single" w:sz="4" w:space="0" w:color="auto"/>
            </w:tcBorders>
            <w:shd w:val="clear" w:color="auto" w:fill="auto"/>
            <w:noWrap/>
            <w:vAlign w:val="center"/>
          </w:tcPr>
          <w:p w14:paraId="67EBA144" w14:textId="74CC443B"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w:t>
            </w:r>
          </w:p>
        </w:tc>
        <w:tc>
          <w:tcPr>
            <w:tcW w:w="1772" w:type="dxa"/>
            <w:tcBorders>
              <w:top w:val="nil"/>
              <w:left w:val="nil"/>
              <w:bottom w:val="single" w:sz="4" w:space="0" w:color="auto"/>
              <w:right w:val="single" w:sz="4" w:space="0" w:color="auto"/>
            </w:tcBorders>
            <w:shd w:val="clear" w:color="auto" w:fill="auto"/>
            <w:noWrap/>
            <w:vAlign w:val="center"/>
          </w:tcPr>
          <w:p w14:paraId="55968A2A" w14:textId="5B6287B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38%</w:t>
            </w:r>
          </w:p>
        </w:tc>
        <w:tc>
          <w:tcPr>
            <w:tcW w:w="1772" w:type="dxa"/>
            <w:tcBorders>
              <w:top w:val="nil"/>
              <w:left w:val="nil"/>
              <w:bottom w:val="single" w:sz="4" w:space="0" w:color="auto"/>
              <w:right w:val="nil"/>
            </w:tcBorders>
            <w:shd w:val="clear" w:color="auto" w:fill="auto"/>
            <w:noWrap/>
            <w:vAlign w:val="center"/>
          </w:tcPr>
          <w:p w14:paraId="0B3F4CA5" w14:textId="6DFE44AF"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4</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66C1230" w14:textId="4E9DE469"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15</w:t>
            </w:r>
          </w:p>
        </w:tc>
        <w:tc>
          <w:tcPr>
            <w:tcW w:w="1772" w:type="dxa"/>
            <w:tcBorders>
              <w:top w:val="nil"/>
              <w:left w:val="nil"/>
              <w:bottom w:val="single" w:sz="4" w:space="0" w:color="auto"/>
              <w:right w:val="single" w:sz="4" w:space="0" w:color="auto"/>
            </w:tcBorders>
            <w:shd w:val="clear" w:color="auto" w:fill="auto"/>
            <w:noWrap/>
            <w:vAlign w:val="center"/>
          </w:tcPr>
          <w:p w14:paraId="4B027069" w14:textId="1A506D48"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27%</w:t>
            </w:r>
          </w:p>
        </w:tc>
      </w:tr>
      <w:tr w:rsidR="00CE1A25" w:rsidRPr="00CE1A25" w14:paraId="4F11C7C7"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7C8F1E63" w14:textId="77777777" w:rsidR="00EB1730" w:rsidRPr="00CE1A25" w:rsidRDefault="00EB1730" w:rsidP="00EB1730">
            <w:pPr>
              <w:spacing w:after="0" w:line="240" w:lineRule="auto"/>
              <w:rPr>
                <w:rFonts w:ascii="Calibri" w:eastAsia="Times New Roman" w:hAnsi="Calibri"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98DC097"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6E2227CF"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F5E30ED"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4B87D05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4503DB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055CAAD1"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187731CF"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5192536D" w14:textId="7E4FA751" w:rsidR="00EB1730" w:rsidRPr="00CE1A25" w:rsidRDefault="00EB1730" w:rsidP="00EB1730">
            <w:pPr>
              <w:spacing w:after="0" w:line="240" w:lineRule="auto"/>
              <w:rPr>
                <w:rFonts w:ascii="Calibri" w:eastAsia="Times New Roman" w:hAnsi="Calibri" w:cs="Calibri"/>
                <w:b/>
                <w:bCs/>
                <w:color w:val="auto"/>
                <w:lang w:eastAsia="en-GB"/>
              </w:rPr>
            </w:pPr>
            <w:r w:rsidRPr="00CE1A25">
              <w:rPr>
                <w:rFonts w:ascii="Calibri" w:eastAsia="Times New Roman" w:hAnsi="Calibri" w:cs="Calibri"/>
                <w:b/>
                <w:bCs/>
                <w:color w:val="auto"/>
                <w:lang w:eastAsia="en-GB"/>
              </w:rPr>
              <w:t>Operator scale</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75975B3B"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4A93D015"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3A293F7"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2F133882"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F6B9B8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E3A951C"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29F703CF"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1EC1D51F"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 xml:space="preserve">Large corporate group </w:t>
            </w:r>
            <w:r w:rsidRPr="00CE1A25">
              <w:rPr>
                <w:rFonts w:ascii="Calibri" w:eastAsia="Times New Roman" w:hAnsi="Calibri" w:cs="Calibri"/>
                <w:color w:val="auto"/>
                <w:vertAlign w:val="superscript"/>
                <w:lang w:eastAsia="en-GB"/>
              </w:rPr>
              <w:t>1</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D19B5C5" w14:textId="1A7D3488"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w:t>
            </w:r>
          </w:p>
        </w:tc>
        <w:tc>
          <w:tcPr>
            <w:tcW w:w="1772" w:type="dxa"/>
            <w:tcBorders>
              <w:top w:val="nil"/>
              <w:left w:val="nil"/>
              <w:bottom w:val="single" w:sz="4" w:space="0" w:color="auto"/>
              <w:right w:val="single" w:sz="4" w:space="0" w:color="auto"/>
            </w:tcBorders>
            <w:shd w:val="clear" w:color="auto" w:fill="auto"/>
            <w:noWrap/>
            <w:vAlign w:val="center"/>
          </w:tcPr>
          <w:p w14:paraId="2E5F0030" w14:textId="505502E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7</w:t>
            </w:r>
          </w:p>
        </w:tc>
        <w:tc>
          <w:tcPr>
            <w:tcW w:w="1772" w:type="dxa"/>
            <w:tcBorders>
              <w:top w:val="nil"/>
              <w:left w:val="nil"/>
              <w:bottom w:val="single" w:sz="4" w:space="0" w:color="auto"/>
              <w:right w:val="single" w:sz="4" w:space="0" w:color="auto"/>
            </w:tcBorders>
            <w:shd w:val="clear" w:color="auto" w:fill="auto"/>
            <w:noWrap/>
            <w:vAlign w:val="center"/>
          </w:tcPr>
          <w:p w14:paraId="0D96FF11" w14:textId="685DF67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86%</w:t>
            </w:r>
          </w:p>
        </w:tc>
        <w:tc>
          <w:tcPr>
            <w:tcW w:w="1772" w:type="dxa"/>
            <w:tcBorders>
              <w:top w:val="nil"/>
              <w:left w:val="nil"/>
              <w:bottom w:val="single" w:sz="4" w:space="0" w:color="auto"/>
              <w:right w:val="nil"/>
            </w:tcBorders>
            <w:shd w:val="clear" w:color="auto" w:fill="auto"/>
            <w:noWrap/>
            <w:vAlign w:val="center"/>
          </w:tcPr>
          <w:p w14:paraId="74C3E98B" w14:textId="77C43DAA"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4</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AE36672" w14:textId="3E7EA32F"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4</w:t>
            </w:r>
          </w:p>
        </w:tc>
        <w:tc>
          <w:tcPr>
            <w:tcW w:w="1772" w:type="dxa"/>
            <w:tcBorders>
              <w:top w:val="nil"/>
              <w:left w:val="nil"/>
              <w:bottom w:val="single" w:sz="4" w:space="0" w:color="auto"/>
              <w:right w:val="single" w:sz="4" w:space="0" w:color="auto"/>
            </w:tcBorders>
            <w:shd w:val="clear" w:color="auto" w:fill="auto"/>
            <w:noWrap/>
            <w:vAlign w:val="center"/>
          </w:tcPr>
          <w:p w14:paraId="20DDDB17" w14:textId="1B4728CE"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100%</w:t>
            </w:r>
          </w:p>
        </w:tc>
      </w:tr>
      <w:tr w:rsidR="00CE1A25" w:rsidRPr="00CE1A25" w14:paraId="0857A88E"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5898775F"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Medium group</w:t>
            </w:r>
            <w:r w:rsidRPr="00CE1A25">
              <w:rPr>
                <w:rFonts w:ascii="Calibri" w:eastAsia="Times New Roman" w:hAnsi="Calibri" w:cs="Calibri"/>
                <w:color w:val="auto"/>
                <w:vertAlign w:val="superscript"/>
                <w:lang w:eastAsia="en-GB"/>
              </w:rPr>
              <w:t xml:space="preserve"> 2</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6C2862BB" w14:textId="13F51B7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12</w:t>
            </w:r>
          </w:p>
        </w:tc>
        <w:tc>
          <w:tcPr>
            <w:tcW w:w="1772" w:type="dxa"/>
            <w:tcBorders>
              <w:top w:val="nil"/>
              <w:left w:val="nil"/>
              <w:bottom w:val="single" w:sz="4" w:space="0" w:color="auto"/>
              <w:right w:val="single" w:sz="4" w:space="0" w:color="auto"/>
            </w:tcBorders>
            <w:shd w:val="clear" w:color="auto" w:fill="auto"/>
            <w:noWrap/>
            <w:vAlign w:val="center"/>
          </w:tcPr>
          <w:p w14:paraId="64609D5D" w14:textId="3D2A5EC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16</w:t>
            </w:r>
          </w:p>
        </w:tc>
        <w:tc>
          <w:tcPr>
            <w:tcW w:w="1772" w:type="dxa"/>
            <w:tcBorders>
              <w:top w:val="nil"/>
              <w:left w:val="nil"/>
              <w:bottom w:val="single" w:sz="4" w:space="0" w:color="auto"/>
              <w:right w:val="single" w:sz="4" w:space="0" w:color="auto"/>
            </w:tcBorders>
            <w:shd w:val="clear" w:color="auto" w:fill="auto"/>
            <w:noWrap/>
            <w:vAlign w:val="center"/>
          </w:tcPr>
          <w:p w14:paraId="6981D552" w14:textId="1D837A0C"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75%</w:t>
            </w:r>
          </w:p>
        </w:tc>
        <w:tc>
          <w:tcPr>
            <w:tcW w:w="1772" w:type="dxa"/>
            <w:tcBorders>
              <w:top w:val="nil"/>
              <w:left w:val="nil"/>
              <w:bottom w:val="single" w:sz="4" w:space="0" w:color="auto"/>
              <w:right w:val="nil"/>
            </w:tcBorders>
            <w:shd w:val="clear" w:color="auto" w:fill="auto"/>
            <w:noWrap/>
            <w:vAlign w:val="center"/>
          </w:tcPr>
          <w:p w14:paraId="34E19124" w14:textId="57EDF23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12</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C89F090" w14:textId="5E71988B"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16</w:t>
            </w:r>
          </w:p>
        </w:tc>
        <w:tc>
          <w:tcPr>
            <w:tcW w:w="1772" w:type="dxa"/>
            <w:tcBorders>
              <w:top w:val="nil"/>
              <w:left w:val="nil"/>
              <w:bottom w:val="single" w:sz="4" w:space="0" w:color="auto"/>
              <w:right w:val="single" w:sz="4" w:space="0" w:color="auto"/>
            </w:tcBorders>
            <w:shd w:val="clear" w:color="auto" w:fill="auto"/>
            <w:noWrap/>
            <w:vAlign w:val="center"/>
          </w:tcPr>
          <w:p w14:paraId="62DEA006" w14:textId="46F5FCAA"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75%</w:t>
            </w:r>
          </w:p>
        </w:tc>
      </w:tr>
      <w:tr w:rsidR="00CE1A25" w:rsidRPr="00CE1A25" w14:paraId="18FC13C2"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0FCA25C4"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 xml:space="preserve">Small group or independent </w:t>
            </w:r>
            <w:r w:rsidRPr="00CE1A25">
              <w:rPr>
                <w:rFonts w:ascii="Calibri" w:eastAsia="Times New Roman" w:hAnsi="Calibri" w:cs="Calibri"/>
                <w:color w:val="auto"/>
                <w:vertAlign w:val="superscript"/>
                <w:lang w:eastAsia="en-GB"/>
              </w:rPr>
              <w:t>3</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59178BC5" w14:textId="65EADC5F"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w:t>
            </w:r>
          </w:p>
        </w:tc>
        <w:tc>
          <w:tcPr>
            <w:tcW w:w="1772" w:type="dxa"/>
            <w:tcBorders>
              <w:top w:val="nil"/>
              <w:left w:val="nil"/>
              <w:bottom w:val="single" w:sz="4" w:space="0" w:color="auto"/>
              <w:right w:val="single" w:sz="4" w:space="0" w:color="auto"/>
            </w:tcBorders>
            <w:shd w:val="clear" w:color="auto" w:fill="auto"/>
            <w:noWrap/>
            <w:vAlign w:val="center"/>
          </w:tcPr>
          <w:p w14:paraId="7759EDEA" w14:textId="7E1527D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13</w:t>
            </w:r>
          </w:p>
        </w:tc>
        <w:tc>
          <w:tcPr>
            <w:tcW w:w="1772" w:type="dxa"/>
            <w:tcBorders>
              <w:top w:val="nil"/>
              <w:left w:val="nil"/>
              <w:bottom w:val="single" w:sz="4" w:space="0" w:color="auto"/>
              <w:right w:val="single" w:sz="4" w:space="0" w:color="auto"/>
            </w:tcBorders>
            <w:shd w:val="clear" w:color="auto" w:fill="auto"/>
            <w:noWrap/>
            <w:vAlign w:val="center"/>
          </w:tcPr>
          <w:p w14:paraId="500912AF" w14:textId="0CA547B5"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15%</w:t>
            </w:r>
          </w:p>
        </w:tc>
        <w:tc>
          <w:tcPr>
            <w:tcW w:w="1772" w:type="dxa"/>
            <w:tcBorders>
              <w:top w:val="nil"/>
              <w:left w:val="nil"/>
              <w:bottom w:val="single" w:sz="4" w:space="0" w:color="auto"/>
              <w:right w:val="nil"/>
            </w:tcBorders>
            <w:shd w:val="clear" w:color="auto" w:fill="auto"/>
            <w:noWrap/>
            <w:vAlign w:val="center"/>
          </w:tcPr>
          <w:p w14:paraId="071E93FA" w14:textId="3BBCA905"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B1F8D7A" w14:textId="4FACFC7B"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14</w:t>
            </w:r>
          </w:p>
        </w:tc>
        <w:tc>
          <w:tcPr>
            <w:tcW w:w="1772" w:type="dxa"/>
            <w:tcBorders>
              <w:top w:val="nil"/>
              <w:left w:val="nil"/>
              <w:bottom w:val="single" w:sz="4" w:space="0" w:color="auto"/>
              <w:right w:val="single" w:sz="4" w:space="0" w:color="auto"/>
            </w:tcBorders>
            <w:shd w:val="clear" w:color="auto" w:fill="auto"/>
            <w:noWrap/>
            <w:vAlign w:val="center"/>
          </w:tcPr>
          <w:p w14:paraId="448348E0" w14:textId="3A5EE87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36%</w:t>
            </w:r>
          </w:p>
        </w:tc>
      </w:tr>
      <w:tr w:rsidR="00CE1A25" w:rsidRPr="00CE1A25" w14:paraId="31C897BA"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2E1A6937" w14:textId="77777777" w:rsidR="00EB1730" w:rsidRPr="00CE1A25" w:rsidRDefault="00EB1730" w:rsidP="00EB1730">
            <w:pPr>
              <w:spacing w:after="0" w:line="240" w:lineRule="auto"/>
              <w:rPr>
                <w:rFonts w:ascii="Calibri" w:eastAsia="Times New Roman" w:hAnsi="Calibri"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6431D4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17C6EC6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456833CA"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4997965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576F45CB"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62D573CE"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132ECD67"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3DE939E2" w14:textId="62A76BEE"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b/>
                <w:bCs/>
                <w:color w:val="auto"/>
                <w:lang w:eastAsia="en-GB"/>
              </w:rPr>
              <w:t>Service scale</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75E6BE4"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3C5DED0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7A5B38A0"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18984179"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24146F70"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3F03E32B"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12AB7535"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6994D401"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Large service scale( 50+ beds)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D961AAF" w14:textId="660887F3"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16</w:t>
            </w:r>
          </w:p>
        </w:tc>
        <w:tc>
          <w:tcPr>
            <w:tcW w:w="1772" w:type="dxa"/>
            <w:tcBorders>
              <w:top w:val="nil"/>
              <w:left w:val="nil"/>
              <w:bottom w:val="single" w:sz="4" w:space="0" w:color="auto"/>
              <w:right w:val="single" w:sz="4" w:space="0" w:color="auto"/>
            </w:tcBorders>
            <w:shd w:val="clear" w:color="auto" w:fill="auto"/>
            <w:noWrap/>
            <w:vAlign w:val="center"/>
          </w:tcPr>
          <w:p w14:paraId="528A69C4" w14:textId="70545F0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25</w:t>
            </w:r>
          </w:p>
        </w:tc>
        <w:tc>
          <w:tcPr>
            <w:tcW w:w="1772" w:type="dxa"/>
            <w:tcBorders>
              <w:top w:val="nil"/>
              <w:left w:val="nil"/>
              <w:bottom w:val="single" w:sz="4" w:space="0" w:color="auto"/>
              <w:right w:val="single" w:sz="4" w:space="0" w:color="auto"/>
            </w:tcBorders>
            <w:shd w:val="clear" w:color="auto" w:fill="auto"/>
            <w:noWrap/>
            <w:vAlign w:val="center"/>
          </w:tcPr>
          <w:p w14:paraId="230854E7" w14:textId="6FCD6827"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64%</w:t>
            </w:r>
          </w:p>
        </w:tc>
        <w:tc>
          <w:tcPr>
            <w:tcW w:w="1772" w:type="dxa"/>
            <w:tcBorders>
              <w:top w:val="nil"/>
              <w:left w:val="nil"/>
              <w:bottom w:val="single" w:sz="4" w:space="0" w:color="auto"/>
              <w:right w:val="nil"/>
            </w:tcBorders>
            <w:shd w:val="clear" w:color="auto" w:fill="auto"/>
            <w:noWrap/>
            <w:vAlign w:val="center"/>
          </w:tcPr>
          <w:p w14:paraId="11ADED73" w14:textId="3621826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7</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587B0BD9" w14:textId="3E9461F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w:t>
            </w:r>
          </w:p>
        </w:tc>
        <w:tc>
          <w:tcPr>
            <w:tcW w:w="1772" w:type="dxa"/>
            <w:tcBorders>
              <w:top w:val="nil"/>
              <w:left w:val="nil"/>
              <w:bottom w:val="single" w:sz="4" w:space="0" w:color="auto"/>
              <w:right w:val="single" w:sz="4" w:space="0" w:color="auto"/>
            </w:tcBorders>
            <w:shd w:val="clear" w:color="auto" w:fill="auto"/>
            <w:noWrap/>
            <w:vAlign w:val="center"/>
          </w:tcPr>
          <w:p w14:paraId="03827115" w14:textId="5D80061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88%</w:t>
            </w:r>
          </w:p>
        </w:tc>
      </w:tr>
      <w:tr w:rsidR="00CE1A25" w:rsidRPr="00CE1A25" w14:paraId="64C98EF8"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51ACE0B0"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Medium service scale( 20-49 beds)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7034AE01" w14:textId="1375AE3E"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w:t>
            </w:r>
          </w:p>
        </w:tc>
        <w:tc>
          <w:tcPr>
            <w:tcW w:w="1772" w:type="dxa"/>
            <w:tcBorders>
              <w:top w:val="nil"/>
              <w:left w:val="nil"/>
              <w:bottom w:val="single" w:sz="4" w:space="0" w:color="auto"/>
              <w:right w:val="single" w:sz="4" w:space="0" w:color="auto"/>
            </w:tcBorders>
            <w:shd w:val="clear" w:color="auto" w:fill="auto"/>
            <w:noWrap/>
            <w:vAlign w:val="center"/>
          </w:tcPr>
          <w:p w14:paraId="3004560C" w14:textId="24AA41D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w:t>
            </w:r>
          </w:p>
        </w:tc>
        <w:tc>
          <w:tcPr>
            <w:tcW w:w="1772" w:type="dxa"/>
            <w:tcBorders>
              <w:top w:val="nil"/>
              <w:left w:val="nil"/>
              <w:bottom w:val="single" w:sz="4" w:space="0" w:color="auto"/>
              <w:right w:val="single" w:sz="4" w:space="0" w:color="auto"/>
            </w:tcBorders>
            <w:shd w:val="clear" w:color="auto" w:fill="auto"/>
            <w:noWrap/>
            <w:vAlign w:val="center"/>
          </w:tcPr>
          <w:p w14:paraId="3165E39A" w14:textId="32AD7DBF"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30%</w:t>
            </w:r>
          </w:p>
        </w:tc>
        <w:tc>
          <w:tcPr>
            <w:tcW w:w="1772" w:type="dxa"/>
            <w:tcBorders>
              <w:top w:val="nil"/>
              <w:left w:val="nil"/>
              <w:bottom w:val="single" w:sz="4" w:space="0" w:color="auto"/>
              <w:right w:val="nil"/>
            </w:tcBorders>
            <w:shd w:val="clear" w:color="auto" w:fill="auto"/>
            <w:noWrap/>
            <w:vAlign w:val="center"/>
          </w:tcPr>
          <w:p w14:paraId="2CD94B3C" w14:textId="44BDE6A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14</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272810CB" w14:textId="4446351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24</w:t>
            </w:r>
          </w:p>
        </w:tc>
        <w:tc>
          <w:tcPr>
            <w:tcW w:w="1772" w:type="dxa"/>
            <w:tcBorders>
              <w:top w:val="nil"/>
              <w:left w:val="nil"/>
              <w:bottom w:val="single" w:sz="4" w:space="0" w:color="auto"/>
              <w:right w:val="single" w:sz="4" w:space="0" w:color="auto"/>
            </w:tcBorders>
            <w:shd w:val="clear" w:color="auto" w:fill="auto"/>
            <w:noWrap/>
            <w:vAlign w:val="center"/>
          </w:tcPr>
          <w:p w14:paraId="471906F9" w14:textId="547065F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58%</w:t>
            </w:r>
          </w:p>
        </w:tc>
      </w:tr>
      <w:tr w:rsidR="00CE1A25" w:rsidRPr="00CE1A25" w14:paraId="0EECAFF4"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44BA3B34"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Small service scale (&lt;20 beds)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377E221E" w14:textId="770472B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w:t>
            </w:r>
          </w:p>
        </w:tc>
        <w:tc>
          <w:tcPr>
            <w:tcW w:w="1772" w:type="dxa"/>
            <w:tcBorders>
              <w:top w:val="nil"/>
              <w:left w:val="nil"/>
              <w:bottom w:val="single" w:sz="4" w:space="0" w:color="auto"/>
              <w:right w:val="single" w:sz="4" w:space="0" w:color="auto"/>
            </w:tcBorders>
            <w:shd w:val="clear" w:color="auto" w:fill="auto"/>
            <w:noWrap/>
            <w:vAlign w:val="center"/>
          </w:tcPr>
          <w:p w14:paraId="7CEFA5C5" w14:textId="00B0F8D3"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w:t>
            </w:r>
          </w:p>
        </w:tc>
        <w:tc>
          <w:tcPr>
            <w:tcW w:w="1772" w:type="dxa"/>
            <w:tcBorders>
              <w:top w:val="nil"/>
              <w:left w:val="nil"/>
              <w:bottom w:val="single" w:sz="4" w:space="0" w:color="auto"/>
              <w:right w:val="single" w:sz="4" w:space="0" w:color="auto"/>
            </w:tcBorders>
            <w:shd w:val="clear" w:color="auto" w:fill="auto"/>
            <w:noWrap/>
            <w:vAlign w:val="center"/>
          </w:tcPr>
          <w:p w14:paraId="10B784B5" w14:textId="20466855"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100%</w:t>
            </w:r>
          </w:p>
        </w:tc>
        <w:tc>
          <w:tcPr>
            <w:tcW w:w="1772" w:type="dxa"/>
            <w:tcBorders>
              <w:top w:val="nil"/>
              <w:left w:val="nil"/>
              <w:bottom w:val="single" w:sz="4" w:space="0" w:color="auto"/>
              <w:right w:val="nil"/>
            </w:tcBorders>
            <w:shd w:val="clear" w:color="auto" w:fill="auto"/>
            <w:noWrap/>
            <w:vAlign w:val="center"/>
          </w:tcPr>
          <w:p w14:paraId="6B6ADD42" w14:textId="481D48C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0</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7DB70E15" w14:textId="267D5BE9"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w:t>
            </w:r>
          </w:p>
        </w:tc>
        <w:tc>
          <w:tcPr>
            <w:tcW w:w="1772" w:type="dxa"/>
            <w:tcBorders>
              <w:top w:val="nil"/>
              <w:left w:val="nil"/>
              <w:bottom w:val="single" w:sz="4" w:space="0" w:color="auto"/>
              <w:right w:val="single" w:sz="4" w:space="0" w:color="auto"/>
            </w:tcBorders>
            <w:shd w:val="clear" w:color="auto" w:fill="auto"/>
            <w:noWrap/>
            <w:vAlign w:val="center"/>
          </w:tcPr>
          <w:p w14:paraId="72A4250D" w14:textId="323BCD9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0%</w:t>
            </w:r>
          </w:p>
        </w:tc>
      </w:tr>
      <w:tr w:rsidR="00CE1A25" w:rsidRPr="00CE1A25" w14:paraId="5BFD018A"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5C41271F" w14:textId="77777777" w:rsidR="00EB1730" w:rsidRPr="00CE1A25" w:rsidRDefault="00EB1730" w:rsidP="00EB1730">
            <w:pPr>
              <w:spacing w:after="0" w:line="240" w:lineRule="auto"/>
              <w:rPr>
                <w:rFonts w:ascii="Calibri" w:eastAsia="Times New Roman" w:hAnsi="Calibri"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4A86A887"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AFC1BD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24C49D96"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25DE49DA"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5BC3F92D"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083B0A0B"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7FD6F0A0"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tcPr>
          <w:p w14:paraId="252C203A" w14:textId="5E2E093B" w:rsidR="00EB1730" w:rsidRPr="00CE1A25" w:rsidRDefault="00EB1730" w:rsidP="00EB1730">
            <w:pPr>
              <w:spacing w:after="0" w:line="240" w:lineRule="auto"/>
              <w:rPr>
                <w:rFonts w:ascii="Calibri" w:eastAsia="Times New Roman" w:hAnsi="Calibri" w:cs="Calibri"/>
                <w:b/>
                <w:bCs/>
                <w:color w:val="auto"/>
                <w:lang w:eastAsia="en-GB"/>
              </w:rPr>
            </w:pPr>
            <w:r w:rsidRPr="00CE1A25">
              <w:rPr>
                <w:rFonts w:ascii="Calibri" w:eastAsia="Times New Roman" w:hAnsi="Calibri" w:cs="Calibri"/>
                <w:b/>
                <w:bCs/>
                <w:color w:val="auto"/>
                <w:lang w:eastAsia="en-GB"/>
              </w:rPr>
              <w:t>CQC ratings</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28DD0AC4"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42F2D5CC"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7900CFB8"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nil"/>
            </w:tcBorders>
            <w:shd w:val="clear" w:color="auto" w:fill="auto"/>
            <w:noWrap/>
            <w:vAlign w:val="center"/>
          </w:tcPr>
          <w:p w14:paraId="2F2DB32A"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73F2CB3" w14:textId="77777777" w:rsidR="00EB1730" w:rsidRPr="00CE1A25" w:rsidRDefault="00EB1730" w:rsidP="00FC2D0C">
            <w:pPr>
              <w:spacing w:after="0" w:line="240" w:lineRule="auto"/>
              <w:jc w:val="right"/>
              <w:rPr>
                <w:rFonts w:eastAsia="Times New Roman" w:cs="Calibri"/>
                <w:color w:val="auto"/>
                <w:lang w:eastAsia="en-GB"/>
              </w:rPr>
            </w:pPr>
          </w:p>
        </w:tc>
        <w:tc>
          <w:tcPr>
            <w:tcW w:w="1772" w:type="dxa"/>
            <w:tcBorders>
              <w:top w:val="nil"/>
              <w:left w:val="nil"/>
              <w:bottom w:val="single" w:sz="4" w:space="0" w:color="auto"/>
              <w:right w:val="single" w:sz="4" w:space="0" w:color="auto"/>
            </w:tcBorders>
            <w:shd w:val="clear" w:color="auto" w:fill="auto"/>
            <w:noWrap/>
            <w:vAlign w:val="center"/>
          </w:tcPr>
          <w:p w14:paraId="1DA28BB9" w14:textId="77777777" w:rsidR="00EB1730" w:rsidRPr="00CE1A25" w:rsidRDefault="00EB1730" w:rsidP="00FC2D0C">
            <w:pPr>
              <w:spacing w:after="0" w:line="240" w:lineRule="auto"/>
              <w:jc w:val="right"/>
              <w:rPr>
                <w:rFonts w:eastAsia="Times New Roman" w:cs="Calibri"/>
                <w:color w:val="auto"/>
                <w:lang w:eastAsia="en-GB"/>
              </w:rPr>
            </w:pPr>
          </w:p>
        </w:tc>
      </w:tr>
      <w:tr w:rsidR="00CE1A25" w:rsidRPr="00CE1A25" w14:paraId="473DB42A"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3C2ED4A9"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Good or Outstanding</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6BA138F3" w14:textId="3B49F7F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13</w:t>
            </w:r>
          </w:p>
        </w:tc>
        <w:tc>
          <w:tcPr>
            <w:tcW w:w="1772" w:type="dxa"/>
            <w:tcBorders>
              <w:top w:val="nil"/>
              <w:left w:val="nil"/>
              <w:bottom w:val="single" w:sz="4" w:space="0" w:color="auto"/>
              <w:right w:val="single" w:sz="4" w:space="0" w:color="auto"/>
            </w:tcBorders>
            <w:shd w:val="clear" w:color="auto" w:fill="auto"/>
            <w:noWrap/>
            <w:vAlign w:val="center"/>
          </w:tcPr>
          <w:p w14:paraId="2312AF26" w14:textId="1FB977E0"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29</w:t>
            </w:r>
          </w:p>
        </w:tc>
        <w:tc>
          <w:tcPr>
            <w:tcW w:w="1772" w:type="dxa"/>
            <w:tcBorders>
              <w:top w:val="nil"/>
              <w:left w:val="nil"/>
              <w:bottom w:val="single" w:sz="4" w:space="0" w:color="auto"/>
              <w:right w:val="single" w:sz="4" w:space="0" w:color="auto"/>
            </w:tcBorders>
            <w:shd w:val="clear" w:color="auto" w:fill="auto"/>
            <w:noWrap/>
            <w:vAlign w:val="center"/>
          </w:tcPr>
          <w:p w14:paraId="1ED61BCC" w14:textId="29387D01"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45%</w:t>
            </w:r>
          </w:p>
        </w:tc>
        <w:tc>
          <w:tcPr>
            <w:tcW w:w="1772" w:type="dxa"/>
            <w:tcBorders>
              <w:top w:val="nil"/>
              <w:left w:val="nil"/>
              <w:bottom w:val="single" w:sz="4" w:space="0" w:color="auto"/>
              <w:right w:val="nil"/>
            </w:tcBorders>
            <w:shd w:val="clear" w:color="auto" w:fill="auto"/>
            <w:noWrap/>
            <w:vAlign w:val="center"/>
          </w:tcPr>
          <w:p w14:paraId="16F53688" w14:textId="772064C7"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18</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5839B594" w14:textId="30C72932"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29</w:t>
            </w:r>
          </w:p>
        </w:tc>
        <w:tc>
          <w:tcPr>
            <w:tcW w:w="1772" w:type="dxa"/>
            <w:tcBorders>
              <w:top w:val="nil"/>
              <w:left w:val="nil"/>
              <w:bottom w:val="single" w:sz="4" w:space="0" w:color="auto"/>
              <w:right w:val="single" w:sz="4" w:space="0" w:color="auto"/>
            </w:tcBorders>
            <w:shd w:val="clear" w:color="auto" w:fill="auto"/>
            <w:noWrap/>
            <w:vAlign w:val="center"/>
          </w:tcPr>
          <w:p w14:paraId="38F7D51E" w14:textId="6384233A"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62%</w:t>
            </w:r>
          </w:p>
        </w:tc>
      </w:tr>
      <w:tr w:rsidR="00CE1A25" w:rsidRPr="00CE1A25" w14:paraId="53DBE9F3" w14:textId="77777777" w:rsidTr="007C4C3E">
        <w:trPr>
          <w:trHeight w:val="227"/>
        </w:trPr>
        <w:tc>
          <w:tcPr>
            <w:tcW w:w="3397" w:type="dxa"/>
            <w:tcBorders>
              <w:top w:val="nil"/>
              <w:left w:val="single" w:sz="4" w:space="0" w:color="auto"/>
              <w:bottom w:val="single" w:sz="4" w:space="0" w:color="auto"/>
              <w:right w:val="nil"/>
            </w:tcBorders>
            <w:shd w:val="clear" w:color="auto" w:fill="auto"/>
            <w:noWrap/>
            <w:vAlign w:val="bottom"/>
            <w:hideMark/>
          </w:tcPr>
          <w:p w14:paraId="1021F0DE" w14:textId="77777777" w:rsidR="00EB1730" w:rsidRPr="00CE1A25" w:rsidRDefault="00EB1730" w:rsidP="00EB1730">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Not Good or Outstanding</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012225E1" w14:textId="5F484D86"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w:t>
            </w:r>
          </w:p>
        </w:tc>
        <w:tc>
          <w:tcPr>
            <w:tcW w:w="1772" w:type="dxa"/>
            <w:tcBorders>
              <w:top w:val="nil"/>
              <w:left w:val="nil"/>
              <w:bottom w:val="single" w:sz="4" w:space="0" w:color="auto"/>
              <w:right w:val="single" w:sz="4" w:space="0" w:color="auto"/>
            </w:tcBorders>
            <w:shd w:val="clear" w:color="auto" w:fill="auto"/>
            <w:noWrap/>
            <w:vAlign w:val="center"/>
          </w:tcPr>
          <w:p w14:paraId="1613E92E" w14:textId="73D2E545"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6</w:t>
            </w:r>
          </w:p>
        </w:tc>
        <w:tc>
          <w:tcPr>
            <w:tcW w:w="1772" w:type="dxa"/>
            <w:tcBorders>
              <w:top w:val="nil"/>
              <w:left w:val="nil"/>
              <w:bottom w:val="single" w:sz="4" w:space="0" w:color="auto"/>
              <w:right w:val="single" w:sz="4" w:space="0" w:color="auto"/>
            </w:tcBorders>
            <w:shd w:val="clear" w:color="auto" w:fill="auto"/>
            <w:noWrap/>
            <w:vAlign w:val="center"/>
          </w:tcPr>
          <w:p w14:paraId="14E54548" w14:textId="7CB26EDD"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100%</w:t>
            </w:r>
          </w:p>
        </w:tc>
        <w:tc>
          <w:tcPr>
            <w:tcW w:w="1772" w:type="dxa"/>
            <w:tcBorders>
              <w:top w:val="nil"/>
              <w:left w:val="nil"/>
              <w:bottom w:val="single" w:sz="4" w:space="0" w:color="auto"/>
              <w:right w:val="nil"/>
            </w:tcBorders>
            <w:shd w:val="clear" w:color="auto" w:fill="auto"/>
            <w:noWrap/>
            <w:vAlign w:val="center"/>
          </w:tcPr>
          <w:p w14:paraId="3A9FA9A5" w14:textId="64541C9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2</w:t>
            </w:r>
          </w:p>
        </w:tc>
        <w:tc>
          <w:tcPr>
            <w:tcW w:w="1772" w:type="dxa"/>
            <w:tcBorders>
              <w:top w:val="nil"/>
              <w:left w:val="single" w:sz="8" w:space="0" w:color="auto"/>
              <w:bottom w:val="single" w:sz="4" w:space="0" w:color="auto"/>
              <w:right w:val="single" w:sz="4" w:space="0" w:color="auto"/>
            </w:tcBorders>
            <w:shd w:val="clear" w:color="auto" w:fill="auto"/>
            <w:noWrap/>
            <w:vAlign w:val="center"/>
          </w:tcPr>
          <w:p w14:paraId="1A3BEFE7" w14:textId="09D94332"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4</w:t>
            </w:r>
          </w:p>
        </w:tc>
        <w:tc>
          <w:tcPr>
            <w:tcW w:w="1772" w:type="dxa"/>
            <w:tcBorders>
              <w:top w:val="nil"/>
              <w:left w:val="nil"/>
              <w:bottom w:val="single" w:sz="4" w:space="0" w:color="auto"/>
              <w:right w:val="single" w:sz="4" w:space="0" w:color="auto"/>
            </w:tcBorders>
            <w:shd w:val="clear" w:color="auto" w:fill="auto"/>
            <w:noWrap/>
            <w:vAlign w:val="center"/>
          </w:tcPr>
          <w:p w14:paraId="086F41B2" w14:textId="6EF37814" w:rsidR="00EB1730" w:rsidRPr="00CE1A25" w:rsidRDefault="00EB1730" w:rsidP="00FC2D0C">
            <w:pPr>
              <w:spacing w:after="0" w:line="240" w:lineRule="auto"/>
              <w:jc w:val="right"/>
              <w:rPr>
                <w:rFonts w:eastAsia="Times New Roman" w:cs="Calibri"/>
                <w:color w:val="auto"/>
                <w:lang w:eastAsia="en-GB"/>
              </w:rPr>
            </w:pPr>
            <w:r w:rsidRPr="00CE1A25">
              <w:rPr>
                <w:rFonts w:eastAsia="Times New Roman" w:cs="Calibri"/>
                <w:color w:val="auto"/>
                <w:lang w:eastAsia="en-GB"/>
              </w:rPr>
              <w:t>50%</w:t>
            </w:r>
          </w:p>
        </w:tc>
      </w:tr>
    </w:tbl>
    <w:p w14:paraId="19C6C937" w14:textId="331D60DD" w:rsidR="00CE4FD7" w:rsidRPr="00CE1A25" w:rsidRDefault="004E4EE5" w:rsidP="00182F79">
      <w:pPr>
        <w:spacing w:after="0" w:line="240" w:lineRule="auto"/>
        <w:jc w:val="both"/>
        <w:rPr>
          <w:rFonts w:asciiTheme="minorHAnsi" w:hAnsiTheme="minorHAnsi" w:cstheme="minorHAnsi"/>
          <w:color w:val="auto"/>
          <w:sz w:val="18"/>
          <w:szCs w:val="18"/>
        </w:rPr>
      </w:pPr>
      <w:r w:rsidRPr="00CE1A25">
        <w:rPr>
          <w:rFonts w:asciiTheme="minorHAnsi" w:hAnsiTheme="minorHAnsi" w:cstheme="minorHAnsi"/>
          <w:color w:val="auto"/>
          <w:sz w:val="18"/>
          <w:szCs w:val="18"/>
          <w:vertAlign w:val="superscript"/>
        </w:rPr>
        <w:t>1</w:t>
      </w:r>
      <w:r w:rsidRPr="00CE1A25">
        <w:rPr>
          <w:rFonts w:asciiTheme="minorHAnsi" w:hAnsiTheme="minorHAnsi" w:cstheme="minorHAnsi"/>
          <w:color w:val="auto"/>
          <w:sz w:val="18"/>
          <w:szCs w:val="18"/>
        </w:rPr>
        <w:t xml:space="preserve"> </w:t>
      </w:r>
      <w:r w:rsidR="00CE4FD7" w:rsidRPr="00CE1A25">
        <w:rPr>
          <w:rFonts w:asciiTheme="minorHAnsi" w:hAnsiTheme="minorHAnsi" w:cstheme="minorHAnsi"/>
          <w:color w:val="auto"/>
          <w:sz w:val="18"/>
          <w:szCs w:val="18"/>
        </w:rPr>
        <w:t>40  or more care homes for older people across the UK</w:t>
      </w:r>
    </w:p>
    <w:p w14:paraId="1AED369A" w14:textId="22C63AC4" w:rsidR="00CE4FD7" w:rsidRPr="00CE1A25" w:rsidRDefault="00CE4FD7" w:rsidP="00182F79">
      <w:pPr>
        <w:spacing w:after="0" w:line="240" w:lineRule="auto"/>
        <w:jc w:val="both"/>
        <w:rPr>
          <w:rFonts w:asciiTheme="minorHAnsi" w:hAnsiTheme="minorHAnsi" w:cstheme="minorHAnsi"/>
          <w:color w:val="auto"/>
          <w:sz w:val="18"/>
          <w:szCs w:val="18"/>
        </w:rPr>
      </w:pPr>
      <w:r w:rsidRPr="00CE1A25">
        <w:rPr>
          <w:rFonts w:asciiTheme="minorHAnsi" w:hAnsiTheme="minorHAnsi" w:cstheme="minorHAnsi"/>
          <w:color w:val="auto"/>
          <w:sz w:val="18"/>
          <w:szCs w:val="18"/>
          <w:vertAlign w:val="superscript"/>
        </w:rPr>
        <w:t>2</w:t>
      </w:r>
      <w:r w:rsidRPr="00CE1A25">
        <w:rPr>
          <w:rFonts w:asciiTheme="minorHAnsi" w:hAnsiTheme="minorHAnsi" w:cstheme="minorHAnsi"/>
          <w:color w:val="auto"/>
          <w:sz w:val="18"/>
          <w:szCs w:val="18"/>
        </w:rPr>
        <w:t xml:space="preserve"> 3 - 39 care homes for older people across the UK</w:t>
      </w:r>
    </w:p>
    <w:p w14:paraId="28D14DC8" w14:textId="09136860" w:rsidR="00CE4FD7" w:rsidRPr="00CE1A25" w:rsidRDefault="00CE4FD7" w:rsidP="00CE4FD7">
      <w:pPr>
        <w:spacing w:after="0" w:line="240" w:lineRule="auto"/>
        <w:jc w:val="both"/>
        <w:rPr>
          <w:rFonts w:asciiTheme="minorHAnsi" w:hAnsiTheme="minorHAnsi" w:cstheme="minorHAnsi"/>
          <w:color w:val="auto"/>
          <w:sz w:val="18"/>
          <w:szCs w:val="18"/>
        </w:rPr>
      </w:pPr>
      <w:r w:rsidRPr="00CE1A25">
        <w:rPr>
          <w:rFonts w:asciiTheme="minorHAnsi" w:hAnsiTheme="minorHAnsi" w:cstheme="minorHAnsi"/>
          <w:color w:val="auto"/>
          <w:sz w:val="18"/>
          <w:szCs w:val="18"/>
          <w:vertAlign w:val="superscript"/>
        </w:rPr>
        <w:t xml:space="preserve">3 </w:t>
      </w:r>
      <w:r w:rsidRPr="00CE1A25">
        <w:rPr>
          <w:rFonts w:asciiTheme="minorHAnsi" w:hAnsiTheme="minorHAnsi" w:cstheme="minorHAnsi"/>
          <w:color w:val="auto"/>
          <w:sz w:val="18"/>
          <w:szCs w:val="18"/>
        </w:rPr>
        <w:t>Fewer than 3 care homes for older people across the UK</w:t>
      </w:r>
    </w:p>
    <w:p w14:paraId="66D3DAC1" w14:textId="18B4D669" w:rsidR="00C940FF" w:rsidRPr="00CE1A25" w:rsidRDefault="00C940FF" w:rsidP="00182F79">
      <w:pPr>
        <w:jc w:val="both"/>
        <w:rPr>
          <w:color w:val="auto"/>
        </w:rPr>
      </w:pPr>
    </w:p>
    <w:p w14:paraId="6244583F" w14:textId="18A93054" w:rsidR="00951C11" w:rsidRPr="00CE1A25" w:rsidRDefault="00951C11" w:rsidP="00951C11">
      <w:pPr>
        <w:spacing w:after="0" w:line="280" w:lineRule="exact"/>
        <w:jc w:val="both"/>
        <w:rPr>
          <w:color w:val="auto"/>
        </w:rPr>
      </w:pPr>
      <w:bookmarkStart w:id="27" w:name="_Hlk115510847"/>
      <w:bookmarkStart w:id="28" w:name="_Hlk114482701"/>
      <w:r w:rsidRPr="00CE1A25">
        <w:rPr>
          <w:color w:val="auto"/>
        </w:rPr>
        <w:t xml:space="preserve">Feedback received from providers during the engagement process identified some of their reasons for </w:t>
      </w:r>
      <w:r w:rsidR="00F7086E" w:rsidRPr="00CE1A25">
        <w:rPr>
          <w:color w:val="auto"/>
        </w:rPr>
        <w:t xml:space="preserve">non-respondents’ </w:t>
      </w:r>
      <w:r w:rsidRPr="00CE1A25">
        <w:rPr>
          <w:color w:val="auto"/>
        </w:rPr>
        <w:t>hesitancy to respond:</w:t>
      </w:r>
    </w:p>
    <w:p w14:paraId="72FA5275" w14:textId="77777777" w:rsidR="00951C11" w:rsidRPr="00CE1A25" w:rsidRDefault="00951C11" w:rsidP="00951C11">
      <w:pPr>
        <w:spacing w:after="0" w:line="280" w:lineRule="exact"/>
        <w:jc w:val="both"/>
        <w:rPr>
          <w:color w:val="auto"/>
        </w:rPr>
      </w:pPr>
    </w:p>
    <w:p w14:paraId="083A5016" w14:textId="77777777" w:rsidR="00951C11" w:rsidRPr="00CE1A25" w:rsidRDefault="00951C11" w:rsidP="00951C11">
      <w:pPr>
        <w:pStyle w:val="ListParagraph"/>
        <w:numPr>
          <w:ilvl w:val="0"/>
          <w:numId w:val="20"/>
        </w:numPr>
        <w:spacing w:line="280" w:lineRule="exact"/>
        <w:jc w:val="both"/>
        <w:rPr>
          <w:color w:val="auto"/>
        </w:rPr>
      </w:pPr>
      <w:r w:rsidRPr="00CE1A25">
        <w:rPr>
          <w:color w:val="auto"/>
        </w:rPr>
        <w:t>Demanding toolkit and insufficient time to complete it (may have been exacerbated by current staffing challenges);</w:t>
      </w:r>
    </w:p>
    <w:p w14:paraId="401F1FF4" w14:textId="77777777" w:rsidR="00951C11" w:rsidRPr="00CE1A25" w:rsidRDefault="00951C11" w:rsidP="00951C11">
      <w:pPr>
        <w:pStyle w:val="ListParagraph"/>
        <w:spacing w:line="280" w:lineRule="exact"/>
        <w:jc w:val="both"/>
        <w:rPr>
          <w:color w:val="auto"/>
        </w:rPr>
      </w:pPr>
    </w:p>
    <w:p w14:paraId="0519A3D1" w14:textId="77777777" w:rsidR="00951C11" w:rsidRPr="00CE1A25" w:rsidRDefault="00951C11" w:rsidP="00951C11">
      <w:pPr>
        <w:pStyle w:val="ListParagraph"/>
        <w:numPr>
          <w:ilvl w:val="0"/>
          <w:numId w:val="20"/>
        </w:numPr>
        <w:spacing w:line="280" w:lineRule="exact"/>
        <w:jc w:val="both"/>
        <w:rPr>
          <w:color w:val="auto"/>
        </w:rPr>
      </w:pPr>
      <w:r w:rsidRPr="00CE1A25">
        <w:rPr>
          <w:color w:val="auto"/>
        </w:rPr>
        <w:t>Concern about confidentiality, since local authorities are able to inspect individual respondents’ data (previous LaingBuisson exercises have guaranteed confidentiality);</w:t>
      </w:r>
    </w:p>
    <w:p w14:paraId="43AE4A0A" w14:textId="77777777" w:rsidR="00951C11" w:rsidRPr="00CE1A25" w:rsidRDefault="00951C11" w:rsidP="00951C11">
      <w:pPr>
        <w:pStyle w:val="ListParagraph"/>
        <w:rPr>
          <w:color w:val="auto"/>
        </w:rPr>
      </w:pPr>
    </w:p>
    <w:p w14:paraId="105B358E" w14:textId="77777777" w:rsidR="00951C11" w:rsidRPr="00CE1A25" w:rsidRDefault="00951C11" w:rsidP="00951C11">
      <w:pPr>
        <w:pStyle w:val="ListParagraph"/>
        <w:numPr>
          <w:ilvl w:val="0"/>
          <w:numId w:val="20"/>
        </w:numPr>
        <w:spacing w:line="280" w:lineRule="exact"/>
        <w:jc w:val="both"/>
        <w:rPr>
          <w:color w:val="auto"/>
        </w:rPr>
      </w:pPr>
      <w:r w:rsidRPr="00CE1A25">
        <w:rPr>
          <w:color w:val="auto"/>
        </w:rPr>
        <w:t>Lack of confidence that the exercise would lead to financial benefits for providers, in the light of the perceived absence of benefits from earlier cost of care exercises.</w:t>
      </w:r>
    </w:p>
    <w:p w14:paraId="2B27A3AC" w14:textId="24C2DE31" w:rsidR="00951C11" w:rsidRDefault="00951C11" w:rsidP="00182F79">
      <w:pPr>
        <w:jc w:val="both"/>
      </w:pPr>
    </w:p>
    <w:p w14:paraId="7A389363" w14:textId="375E7991" w:rsidR="00D475A9" w:rsidRDefault="00D475A9" w:rsidP="00D475A9">
      <w:pPr>
        <w:pStyle w:val="Heading3"/>
      </w:pPr>
      <w:bookmarkStart w:id="29" w:name="_Toc116555556"/>
      <w:bookmarkEnd w:id="27"/>
      <w:r>
        <w:lastRenderedPageBreak/>
        <w:t>2.7.1 Geographical spread of care homes</w:t>
      </w:r>
      <w:bookmarkEnd w:id="29"/>
    </w:p>
    <w:p w14:paraId="62D2CC66" w14:textId="4A28B8BB" w:rsidR="00D475A9" w:rsidRDefault="00D475A9" w:rsidP="00182F79">
      <w:pPr>
        <w:jc w:val="both"/>
      </w:pPr>
    </w:p>
    <w:p w14:paraId="03C21DED" w14:textId="57459218" w:rsidR="00E0235A" w:rsidRPr="00CE1A25" w:rsidRDefault="00E0235A" w:rsidP="00E0235A">
      <w:pPr>
        <w:spacing w:after="0" w:line="280" w:lineRule="exact"/>
        <w:jc w:val="both"/>
        <w:rPr>
          <w:color w:val="auto"/>
          <w:lang w:eastAsia="en-GB"/>
        </w:rPr>
      </w:pPr>
      <w:r w:rsidRPr="00CE1A25">
        <w:rPr>
          <w:color w:val="auto"/>
          <w:lang w:eastAsia="en-GB"/>
        </w:rPr>
        <w:t xml:space="preserve">The geographical spread of </w:t>
      </w:r>
      <w:r w:rsidRPr="00CE1A25">
        <w:rPr>
          <w:color w:val="auto"/>
        </w:rPr>
        <w:t xml:space="preserve">respondent and non-respondent </w:t>
      </w:r>
      <w:r w:rsidRPr="00CE1A25">
        <w:rPr>
          <w:color w:val="auto"/>
          <w:lang w:eastAsia="en-GB"/>
        </w:rPr>
        <w:t>care homes in</w:t>
      </w:r>
      <w:r w:rsidR="00FC2D0C" w:rsidRPr="00CE1A25">
        <w:rPr>
          <w:color w:val="auto"/>
          <w:lang w:eastAsia="en-GB"/>
        </w:rPr>
        <w:t xml:space="preserve"> Sheffield</w:t>
      </w:r>
      <w:r w:rsidRPr="00CE1A25">
        <w:rPr>
          <w:color w:val="auto"/>
          <w:lang w:eastAsia="en-GB"/>
        </w:rPr>
        <w:t xml:space="preserve"> is illustrated </w:t>
      </w:r>
      <w:r w:rsidR="00FC2D0C" w:rsidRPr="00CE1A25">
        <w:rPr>
          <w:color w:val="auto"/>
          <w:lang w:eastAsia="en-GB"/>
        </w:rPr>
        <w:t>i</w:t>
      </w:r>
      <w:r w:rsidRPr="00CE1A25">
        <w:rPr>
          <w:color w:val="auto"/>
          <w:lang w:eastAsia="en-GB"/>
        </w:rPr>
        <w:t>n Figure 1.</w:t>
      </w:r>
    </w:p>
    <w:p w14:paraId="1743B8D3" w14:textId="14FA035B" w:rsidR="00D475A9" w:rsidRDefault="00D475A9" w:rsidP="00182F79">
      <w:pPr>
        <w:jc w:val="both"/>
      </w:pPr>
    </w:p>
    <w:p w14:paraId="0D3FFAC8" w14:textId="65177EBF" w:rsidR="00E0235A" w:rsidRPr="00CE61F0" w:rsidRDefault="00E0235A" w:rsidP="00E0235A">
      <w:pPr>
        <w:rPr>
          <w:b/>
          <w:bCs/>
          <w:lang w:eastAsia="en-GB"/>
        </w:rPr>
      </w:pPr>
      <w:r w:rsidRPr="00CE61F0">
        <w:rPr>
          <w:b/>
          <w:bCs/>
          <w:lang w:eastAsia="en-GB"/>
        </w:rPr>
        <w:t>Figure 1 Map of care homes in</w:t>
      </w:r>
      <w:r w:rsidR="00FC2D0C">
        <w:rPr>
          <w:b/>
          <w:bCs/>
          <w:lang w:eastAsia="en-GB"/>
        </w:rPr>
        <w:t xml:space="preserve"> Sheffield</w:t>
      </w:r>
    </w:p>
    <w:bookmarkEnd w:id="28"/>
    <w:p w14:paraId="6FCC6BDF" w14:textId="77777777" w:rsidR="00FC2D0C" w:rsidRDefault="00FC2D0C">
      <w:r w:rsidRPr="00ED1BC0">
        <w:rPr>
          <w:noProof/>
          <w:color w:val="auto"/>
        </w:rPr>
        <w:drawing>
          <wp:inline distT="0" distB="0" distL="0" distR="0" wp14:anchorId="56B6D59B" wp14:editId="08764E3F">
            <wp:extent cx="6924307" cy="395493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0138" cy="3969692"/>
                    </a:xfrm>
                    <a:prstGeom prst="rect">
                      <a:avLst/>
                    </a:prstGeom>
                    <a:noFill/>
                  </pic:spPr>
                </pic:pic>
              </a:graphicData>
            </a:graphic>
          </wp:inline>
        </w:drawing>
      </w:r>
    </w:p>
    <w:p w14:paraId="10533889" w14:textId="77777777" w:rsidR="00FC2D0C" w:rsidRPr="00ED1BC0" w:rsidRDefault="00FC2D0C" w:rsidP="00FC2D0C">
      <w:pPr>
        <w:pStyle w:val="ListParagraph"/>
        <w:numPr>
          <w:ilvl w:val="0"/>
          <w:numId w:val="46"/>
        </w:numPr>
        <w:rPr>
          <w:color w:val="auto"/>
        </w:rPr>
      </w:pPr>
      <w:r w:rsidRPr="00ED1BC0">
        <w:rPr>
          <w:color w:val="auto"/>
        </w:rPr>
        <w:t>Respondents</w:t>
      </w:r>
    </w:p>
    <w:p w14:paraId="63AC903F" w14:textId="77777777" w:rsidR="00FC2D0C" w:rsidRPr="00ED1BC0" w:rsidRDefault="00FC2D0C" w:rsidP="00FC2D0C">
      <w:pPr>
        <w:pStyle w:val="ListParagraph"/>
        <w:numPr>
          <w:ilvl w:val="0"/>
          <w:numId w:val="47"/>
        </w:numPr>
        <w:rPr>
          <w:color w:val="auto"/>
        </w:rPr>
      </w:pPr>
      <w:r w:rsidRPr="00ED1BC0">
        <w:rPr>
          <w:color w:val="auto"/>
        </w:rPr>
        <w:t>Non-respondents</w:t>
      </w:r>
    </w:p>
    <w:p w14:paraId="335A6DDB" w14:textId="16247FFE" w:rsidR="009E5B49" w:rsidRPr="005A6032" w:rsidRDefault="00E0235A" w:rsidP="005A6032">
      <w:pPr>
        <w:pStyle w:val="Heading2"/>
      </w:pPr>
      <w:r>
        <w:br w:type="page"/>
      </w:r>
      <w:bookmarkStart w:id="30" w:name="_Toc116555557"/>
      <w:r w:rsidR="00AA0812">
        <w:lastRenderedPageBreak/>
        <w:t>2.</w:t>
      </w:r>
      <w:r w:rsidR="00DE302D">
        <w:t>8</w:t>
      </w:r>
      <w:r w:rsidR="00AA0812">
        <w:t xml:space="preserve"> </w:t>
      </w:r>
      <w:r w:rsidR="006C3538" w:rsidRPr="00FC361D">
        <w:t>Base price year and uplifts</w:t>
      </w:r>
      <w:bookmarkEnd w:id="30"/>
    </w:p>
    <w:p w14:paraId="6DA35AEA" w14:textId="77777777" w:rsidR="00AA0812" w:rsidRDefault="00AA0812" w:rsidP="00AA0812">
      <w:pPr>
        <w:spacing w:after="0" w:line="280" w:lineRule="exact"/>
        <w:jc w:val="both"/>
        <w:rPr>
          <w:color w:val="auto"/>
          <w:lang w:eastAsia="en-GB"/>
        </w:rPr>
      </w:pPr>
    </w:p>
    <w:p w14:paraId="7F1F1843" w14:textId="59AAB8FA" w:rsidR="00467D36" w:rsidRPr="00CE1A25" w:rsidRDefault="001C4F37" w:rsidP="00AA0812">
      <w:pPr>
        <w:spacing w:after="0" w:line="280" w:lineRule="exact"/>
        <w:jc w:val="both"/>
        <w:rPr>
          <w:color w:val="auto"/>
          <w:lang w:eastAsia="en-GB"/>
        </w:rPr>
      </w:pPr>
      <w:r w:rsidRPr="00CE1A25">
        <w:rPr>
          <w:color w:val="auto"/>
          <w:lang w:eastAsia="en-GB"/>
        </w:rPr>
        <w:t>All of the FCoC results cited in this report</w:t>
      </w:r>
      <w:r w:rsidR="006C3538" w:rsidRPr="00CE1A25">
        <w:rPr>
          <w:color w:val="auto"/>
          <w:lang w:eastAsia="en-GB"/>
        </w:rPr>
        <w:t xml:space="preserve"> </w:t>
      </w:r>
      <w:r w:rsidR="000B47EC" w:rsidRPr="00CE1A25">
        <w:rPr>
          <w:color w:val="auto"/>
          <w:lang w:eastAsia="en-GB"/>
        </w:rPr>
        <w:t>are expressed at April 2022 prices</w:t>
      </w:r>
      <w:r w:rsidR="003E2A3B" w:rsidRPr="00CE1A25">
        <w:rPr>
          <w:color w:val="auto"/>
          <w:lang w:eastAsia="en-GB"/>
        </w:rPr>
        <w:t xml:space="preserve">. They have been calculated by multiplying the ‘uplift’ factors entered in </w:t>
      </w:r>
      <w:r w:rsidR="00467D36" w:rsidRPr="00CE1A25">
        <w:rPr>
          <w:color w:val="auto"/>
          <w:lang w:eastAsia="en-GB"/>
        </w:rPr>
        <w:t xml:space="preserve">the </w:t>
      </w:r>
      <w:r w:rsidR="003E2A3B" w:rsidRPr="00CE1A25">
        <w:rPr>
          <w:color w:val="auto"/>
          <w:lang w:eastAsia="en-GB"/>
        </w:rPr>
        <w:t xml:space="preserve">toolkit submissions </w:t>
      </w:r>
      <w:r w:rsidR="00467D36" w:rsidRPr="00CE1A25">
        <w:rPr>
          <w:color w:val="auto"/>
          <w:lang w:eastAsia="en-GB"/>
        </w:rPr>
        <w:t xml:space="preserve">by the </w:t>
      </w:r>
      <w:r w:rsidR="003E2A3B" w:rsidRPr="00CE1A25">
        <w:rPr>
          <w:color w:val="auto"/>
          <w:lang w:eastAsia="en-GB"/>
        </w:rPr>
        <w:t xml:space="preserve">2021/22 (base year) </w:t>
      </w:r>
      <w:r w:rsidR="00467D36" w:rsidRPr="00CE1A25">
        <w:rPr>
          <w:color w:val="auto"/>
          <w:lang w:eastAsia="en-GB"/>
        </w:rPr>
        <w:t xml:space="preserve">toolkit </w:t>
      </w:r>
      <w:r w:rsidR="003E2A3B" w:rsidRPr="00CE1A25">
        <w:rPr>
          <w:color w:val="auto"/>
          <w:lang w:eastAsia="en-GB"/>
        </w:rPr>
        <w:t>costs</w:t>
      </w:r>
      <w:r w:rsidR="00C92479" w:rsidRPr="00CE1A25">
        <w:rPr>
          <w:color w:val="auto"/>
          <w:lang w:eastAsia="en-GB"/>
        </w:rPr>
        <w:t xml:space="preserve"> per resident</w:t>
      </w:r>
      <w:r w:rsidR="00467D36" w:rsidRPr="00CE1A25">
        <w:rPr>
          <w:color w:val="auto"/>
          <w:lang w:eastAsia="en-GB"/>
        </w:rPr>
        <w:t>, for each cost line, to arrive</w:t>
      </w:r>
      <w:r w:rsidR="003E2A3B" w:rsidRPr="00CE1A25">
        <w:rPr>
          <w:color w:val="auto"/>
          <w:lang w:eastAsia="en-GB"/>
        </w:rPr>
        <w:t xml:space="preserve"> at </w:t>
      </w:r>
      <w:r w:rsidR="00467D36" w:rsidRPr="00CE1A25">
        <w:rPr>
          <w:color w:val="auto"/>
          <w:lang w:eastAsia="en-GB"/>
        </w:rPr>
        <w:t xml:space="preserve">costs </w:t>
      </w:r>
      <w:r w:rsidR="00C92479" w:rsidRPr="00CE1A25">
        <w:rPr>
          <w:color w:val="auto"/>
          <w:lang w:eastAsia="en-GB"/>
        </w:rPr>
        <w:t xml:space="preserve">per resident </w:t>
      </w:r>
      <w:r w:rsidR="00467D36" w:rsidRPr="00CE1A25">
        <w:rPr>
          <w:color w:val="auto"/>
          <w:lang w:eastAsia="en-GB"/>
        </w:rPr>
        <w:t xml:space="preserve">at </w:t>
      </w:r>
      <w:r w:rsidR="003E2A3B" w:rsidRPr="00CE1A25">
        <w:rPr>
          <w:color w:val="auto"/>
          <w:lang w:eastAsia="en-GB"/>
        </w:rPr>
        <w:t>April 2022 prices.</w:t>
      </w:r>
      <w:r w:rsidR="00467D36" w:rsidRPr="00CE1A25">
        <w:rPr>
          <w:color w:val="auto"/>
          <w:lang w:eastAsia="en-GB"/>
        </w:rPr>
        <w:t xml:space="preserve"> </w:t>
      </w:r>
      <w:r w:rsidR="00741874" w:rsidRPr="00CE1A25">
        <w:rPr>
          <w:color w:val="auto"/>
          <w:lang w:eastAsia="en-GB"/>
        </w:rPr>
        <w:t>In any normal year, costs at April (the beginning of the financial year) would be expected to prevail over the full financial year (April 2022 to March 2023) because staffing i</w:t>
      </w:r>
      <w:r w:rsidR="00C92479" w:rsidRPr="00CE1A25">
        <w:rPr>
          <w:color w:val="auto"/>
          <w:lang w:eastAsia="en-GB"/>
        </w:rPr>
        <w:t>s</w:t>
      </w:r>
      <w:r w:rsidR="00741874" w:rsidRPr="00CE1A25">
        <w:rPr>
          <w:color w:val="auto"/>
          <w:lang w:eastAsia="en-GB"/>
        </w:rPr>
        <w:t xml:space="preserve"> the main driver of cost</w:t>
      </w:r>
      <w:r w:rsidR="00554E8B" w:rsidRPr="00CE1A25">
        <w:rPr>
          <w:color w:val="auto"/>
          <w:lang w:eastAsia="en-GB"/>
        </w:rPr>
        <w:t>,</w:t>
      </w:r>
      <w:r w:rsidR="00741874" w:rsidRPr="00CE1A25">
        <w:rPr>
          <w:color w:val="auto"/>
          <w:lang w:eastAsia="en-GB"/>
        </w:rPr>
        <w:t xml:space="preserve"> and pay rates are usually set at the beginning of the financial year </w:t>
      </w:r>
      <w:r w:rsidR="00C92479" w:rsidRPr="00CE1A25">
        <w:rPr>
          <w:color w:val="auto"/>
          <w:lang w:eastAsia="en-GB"/>
        </w:rPr>
        <w:t xml:space="preserve">for the whole year </w:t>
      </w:r>
      <w:r w:rsidR="00741874" w:rsidRPr="00CE1A25">
        <w:rPr>
          <w:color w:val="auto"/>
          <w:lang w:eastAsia="en-GB"/>
        </w:rPr>
        <w:t xml:space="preserve">in light of the National Living Wage settlement which is implemented in April. </w:t>
      </w:r>
      <w:r w:rsidR="00C92479" w:rsidRPr="00CE1A25">
        <w:rPr>
          <w:color w:val="auto"/>
          <w:lang w:eastAsia="en-GB"/>
        </w:rPr>
        <w:t xml:space="preserve">The </w:t>
      </w:r>
      <w:r w:rsidR="00C14B2E" w:rsidRPr="00CE1A25">
        <w:rPr>
          <w:color w:val="auto"/>
          <w:lang w:eastAsia="en-GB"/>
        </w:rPr>
        <w:t>surge</w:t>
      </w:r>
      <w:r w:rsidR="00C92479" w:rsidRPr="00CE1A25">
        <w:rPr>
          <w:color w:val="auto"/>
          <w:lang w:eastAsia="en-GB"/>
        </w:rPr>
        <w:t xml:space="preserve"> of inflation in 2022/23, however, means that care home costs per resident may well </w:t>
      </w:r>
      <w:r w:rsidR="00534632" w:rsidRPr="00CE1A25">
        <w:rPr>
          <w:color w:val="auto"/>
          <w:lang w:eastAsia="en-GB"/>
        </w:rPr>
        <w:t>change</w:t>
      </w:r>
      <w:r w:rsidR="00C92479" w:rsidRPr="00CE1A25">
        <w:rPr>
          <w:color w:val="auto"/>
          <w:lang w:eastAsia="en-GB"/>
        </w:rPr>
        <w:t xml:space="preserve"> significantly over the course of the</w:t>
      </w:r>
      <w:r w:rsidR="00C940FF" w:rsidRPr="00CE1A25">
        <w:rPr>
          <w:color w:val="auto"/>
          <w:lang w:eastAsia="en-GB"/>
        </w:rPr>
        <w:t xml:space="preserve"> new</w:t>
      </w:r>
      <w:r w:rsidR="00C92479" w:rsidRPr="00CE1A25">
        <w:rPr>
          <w:color w:val="auto"/>
          <w:lang w:eastAsia="en-GB"/>
        </w:rPr>
        <w:t xml:space="preserve"> financial year, over and above this report’s results at April 2022. </w:t>
      </w:r>
      <w:r w:rsidR="00534632" w:rsidRPr="00CE1A25">
        <w:rPr>
          <w:color w:val="auto"/>
          <w:lang w:eastAsia="en-GB"/>
        </w:rPr>
        <w:t xml:space="preserve">It is expected that </w:t>
      </w:r>
      <w:r w:rsidR="00617411" w:rsidRPr="00CE1A25">
        <w:rPr>
          <w:color w:val="auto"/>
          <w:lang w:eastAsia="en-GB"/>
        </w:rPr>
        <w:t>c</w:t>
      </w:r>
      <w:r w:rsidR="00C92479" w:rsidRPr="00CE1A25">
        <w:rPr>
          <w:color w:val="auto"/>
          <w:lang w:eastAsia="en-GB"/>
        </w:rPr>
        <w:t>ouncil decisions in relation to fee setting should have regard to this.</w:t>
      </w:r>
    </w:p>
    <w:p w14:paraId="3DEFE12E" w14:textId="77777777" w:rsidR="00AA0812" w:rsidRPr="00CE1A25" w:rsidRDefault="00AA0812" w:rsidP="006A5068">
      <w:pPr>
        <w:rPr>
          <w:color w:val="auto"/>
          <w:lang w:eastAsia="en-GB"/>
        </w:rPr>
      </w:pPr>
    </w:p>
    <w:p w14:paraId="448BF056" w14:textId="6CCE4557" w:rsidR="006B5E16" w:rsidRPr="00CE1A25" w:rsidRDefault="006C3538" w:rsidP="006A5068">
      <w:pPr>
        <w:rPr>
          <w:color w:val="auto"/>
          <w:lang w:eastAsia="en-GB"/>
        </w:rPr>
      </w:pPr>
      <w:r w:rsidRPr="00CE1A25">
        <w:rPr>
          <w:color w:val="auto"/>
          <w:lang w:eastAsia="en-GB"/>
        </w:rPr>
        <w:t>For submissions with a 2021/22 base price year</w:t>
      </w:r>
      <w:r w:rsidR="00706505" w:rsidRPr="00CE1A25">
        <w:rPr>
          <w:color w:val="auto"/>
          <w:lang w:eastAsia="en-GB"/>
        </w:rPr>
        <w:t xml:space="preserve"> </w:t>
      </w:r>
      <w:r w:rsidRPr="00CE1A25">
        <w:rPr>
          <w:color w:val="auto"/>
          <w:lang w:eastAsia="en-GB"/>
        </w:rPr>
        <w:t>and</w:t>
      </w:r>
      <w:r w:rsidR="009B3FD6" w:rsidRPr="00CE1A25">
        <w:rPr>
          <w:color w:val="auto"/>
          <w:lang w:eastAsia="en-GB"/>
        </w:rPr>
        <w:t xml:space="preserve"> no uplifts</w:t>
      </w:r>
      <w:r w:rsidR="00C14B2E" w:rsidRPr="00CE1A25">
        <w:rPr>
          <w:color w:val="auto"/>
          <w:lang w:eastAsia="en-GB"/>
        </w:rPr>
        <w:t xml:space="preserve"> entered in the toolkit submission</w:t>
      </w:r>
      <w:r w:rsidR="009B3FD6" w:rsidRPr="00CE1A25">
        <w:rPr>
          <w:color w:val="auto"/>
          <w:lang w:eastAsia="en-GB"/>
        </w:rPr>
        <w:t>,</w:t>
      </w:r>
      <w:r w:rsidR="00790A0B" w:rsidRPr="00CE1A25">
        <w:rPr>
          <w:color w:val="auto"/>
          <w:lang w:eastAsia="en-GB"/>
        </w:rPr>
        <w:t xml:space="preserve"> </w:t>
      </w:r>
      <w:r w:rsidR="009B3FD6" w:rsidRPr="00CE1A25">
        <w:rPr>
          <w:color w:val="auto"/>
          <w:lang w:eastAsia="en-GB"/>
        </w:rPr>
        <w:t xml:space="preserve">uplifts have been </w:t>
      </w:r>
      <w:r w:rsidR="00C14B2E" w:rsidRPr="00CE1A25">
        <w:rPr>
          <w:color w:val="auto"/>
          <w:lang w:eastAsia="en-GB"/>
        </w:rPr>
        <w:t>interpolated</w:t>
      </w:r>
      <w:r w:rsidR="004E14CE" w:rsidRPr="00CE1A25">
        <w:rPr>
          <w:color w:val="auto"/>
          <w:lang w:eastAsia="en-GB"/>
        </w:rPr>
        <w:t xml:space="preserve"> based on the National Living Wage for </w:t>
      </w:r>
      <w:r w:rsidR="000D7E5E" w:rsidRPr="00CE1A25">
        <w:rPr>
          <w:color w:val="auto"/>
          <w:lang w:eastAsia="en-GB"/>
        </w:rPr>
        <w:t xml:space="preserve">low-paid </w:t>
      </w:r>
      <w:r w:rsidR="004E14CE" w:rsidRPr="00CE1A25">
        <w:rPr>
          <w:color w:val="auto"/>
          <w:lang w:eastAsia="en-GB"/>
        </w:rPr>
        <w:t>staf</w:t>
      </w:r>
      <w:r w:rsidR="00C14B2E" w:rsidRPr="00CE1A25">
        <w:rPr>
          <w:color w:val="auto"/>
          <w:lang w:eastAsia="en-GB"/>
        </w:rPr>
        <w:t>f</w:t>
      </w:r>
      <w:r w:rsidR="002030BB" w:rsidRPr="00CE1A25">
        <w:rPr>
          <w:color w:val="auto"/>
          <w:lang w:eastAsia="en-GB"/>
        </w:rPr>
        <w:t xml:space="preserve"> (care and domestic)</w:t>
      </w:r>
      <w:r w:rsidR="000C5DB8" w:rsidRPr="00CE1A25">
        <w:rPr>
          <w:color w:val="auto"/>
          <w:lang w:eastAsia="en-GB"/>
        </w:rPr>
        <w:t xml:space="preserve">, </w:t>
      </w:r>
      <w:r w:rsidR="00C14B2E" w:rsidRPr="00CE1A25">
        <w:rPr>
          <w:color w:val="auto"/>
          <w:lang w:eastAsia="en-GB"/>
        </w:rPr>
        <w:t xml:space="preserve">the monthly earnings index for other staff, and </w:t>
      </w:r>
      <w:r w:rsidR="00D6095A" w:rsidRPr="00CE1A25">
        <w:rPr>
          <w:color w:val="auto"/>
          <w:lang w:eastAsia="en-GB"/>
        </w:rPr>
        <w:t>CPI</w:t>
      </w:r>
      <w:r w:rsidR="00ED2A30" w:rsidRPr="00CE1A25">
        <w:rPr>
          <w:color w:val="auto"/>
          <w:lang w:eastAsia="en-GB"/>
        </w:rPr>
        <w:t xml:space="preserve"> (Consumer Price Index)</w:t>
      </w:r>
      <w:r w:rsidR="00D6095A" w:rsidRPr="00CE1A25">
        <w:rPr>
          <w:color w:val="auto"/>
          <w:lang w:eastAsia="en-GB"/>
        </w:rPr>
        <w:t xml:space="preserve"> </w:t>
      </w:r>
      <w:r w:rsidR="00706505" w:rsidRPr="00CE1A25">
        <w:rPr>
          <w:color w:val="auto"/>
          <w:lang w:eastAsia="en-GB"/>
        </w:rPr>
        <w:t xml:space="preserve">and CPIH </w:t>
      </w:r>
      <w:r w:rsidR="00ED2A30" w:rsidRPr="00CE1A25">
        <w:rPr>
          <w:color w:val="auto"/>
          <w:lang w:eastAsia="en-GB"/>
        </w:rPr>
        <w:t xml:space="preserve">(Consumer Price Index with Housing) </w:t>
      </w:r>
      <w:r w:rsidR="00D6095A" w:rsidRPr="00CE1A25">
        <w:rPr>
          <w:color w:val="auto"/>
          <w:lang w:eastAsia="en-GB"/>
        </w:rPr>
        <w:t xml:space="preserve">percentage </w:t>
      </w:r>
      <w:r w:rsidR="00706505" w:rsidRPr="00CE1A25">
        <w:rPr>
          <w:color w:val="auto"/>
          <w:lang w:eastAsia="en-GB"/>
        </w:rPr>
        <w:t xml:space="preserve">change </w:t>
      </w:r>
      <w:r w:rsidR="00D6095A" w:rsidRPr="00CE1A25">
        <w:rPr>
          <w:color w:val="auto"/>
          <w:lang w:eastAsia="en-GB"/>
        </w:rPr>
        <w:t xml:space="preserve">figures </w:t>
      </w:r>
      <w:r w:rsidR="00AD1B1B" w:rsidRPr="00CE1A25">
        <w:rPr>
          <w:color w:val="auto"/>
          <w:lang w:eastAsia="en-GB"/>
        </w:rPr>
        <w:t xml:space="preserve">for non-staffing costs </w:t>
      </w:r>
      <w:r w:rsidR="00D6095A" w:rsidRPr="00CE1A25">
        <w:rPr>
          <w:color w:val="auto"/>
          <w:lang w:eastAsia="en-GB"/>
        </w:rPr>
        <w:t xml:space="preserve">for the 12 months up to </w:t>
      </w:r>
      <w:r w:rsidR="00AB3399" w:rsidRPr="00CE1A25">
        <w:rPr>
          <w:color w:val="auto"/>
          <w:lang w:eastAsia="en-GB"/>
        </w:rPr>
        <w:t>April</w:t>
      </w:r>
      <w:r w:rsidR="00D6095A" w:rsidRPr="00CE1A25">
        <w:rPr>
          <w:color w:val="auto"/>
          <w:lang w:eastAsia="en-GB"/>
        </w:rPr>
        <w:t xml:space="preserve"> 2022</w:t>
      </w:r>
      <w:r w:rsidRPr="00CE1A25">
        <w:rPr>
          <w:rStyle w:val="FootnoteReference"/>
          <w:color w:val="auto"/>
          <w:lang w:eastAsia="en-GB"/>
        </w:rPr>
        <w:footnoteReference w:id="7"/>
      </w:r>
      <w:r w:rsidR="00D6095A" w:rsidRPr="00CE1A25">
        <w:rPr>
          <w:color w:val="auto"/>
          <w:lang w:eastAsia="en-GB"/>
        </w:rPr>
        <w:t xml:space="preserve">. </w:t>
      </w:r>
      <w:r w:rsidR="00706505" w:rsidRPr="00CE1A25">
        <w:rPr>
          <w:color w:val="auto"/>
          <w:lang w:eastAsia="en-GB"/>
        </w:rPr>
        <w:t>These</w:t>
      </w:r>
      <w:r w:rsidR="00D6095A" w:rsidRPr="00CE1A25">
        <w:rPr>
          <w:color w:val="auto"/>
          <w:lang w:eastAsia="en-GB"/>
        </w:rPr>
        <w:t xml:space="preserve"> figures have been chosen on a point</w:t>
      </w:r>
      <w:r w:rsidR="00295454" w:rsidRPr="00CE1A25">
        <w:rPr>
          <w:color w:val="auto"/>
          <w:lang w:eastAsia="en-GB"/>
        </w:rPr>
        <w:t>-</w:t>
      </w:r>
      <w:r w:rsidR="00D6095A" w:rsidRPr="00CE1A25">
        <w:rPr>
          <w:color w:val="auto"/>
          <w:lang w:eastAsia="en-GB"/>
        </w:rPr>
        <w:t>by</w:t>
      </w:r>
      <w:r w:rsidR="00295454" w:rsidRPr="00CE1A25">
        <w:rPr>
          <w:color w:val="auto"/>
          <w:lang w:eastAsia="en-GB"/>
        </w:rPr>
        <w:t>-</w:t>
      </w:r>
      <w:r w:rsidR="00D6095A" w:rsidRPr="00CE1A25">
        <w:rPr>
          <w:color w:val="auto"/>
          <w:lang w:eastAsia="en-GB"/>
        </w:rPr>
        <w:t>point basis</w:t>
      </w:r>
      <w:r w:rsidR="00295454" w:rsidRPr="00CE1A25">
        <w:rPr>
          <w:color w:val="auto"/>
          <w:lang w:eastAsia="en-GB"/>
        </w:rPr>
        <w:t>,</w:t>
      </w:r>
      <w:r w:rsidR="00D6095A" w:rsidRPr="00CE1A25">
        <w:rPr>
          <w:color w:val="auto"/>
          <w:lang w:eastAsia="en-GB"/>
        </w:rPr>
        <w:t xml:space="preserve"> where appropriate figure</w:t>
      </w:r>
      <w:r w:rsidR="00FB5B3D" w:rsidRPr="00CE1A25">
        <w:rPr>
          <w:color w:val="auto"/>
          <w:lang w:eastAsia="en-GB"/>
        </w:rPr>
        <w:t>s</w:t>
      </w:r>
      <w:r w:rsidR="00D6095A" w:rsidRPr="00CE1A25">
        <w:rPr>
          <w:color w:val="auto"/>
          <w:lang w:eastAsia="en-GB"/>
        </w:rPr>
        <w:t xml:space="preserve"> ha</w:t>
      </w:r>
      <w:r w:rsidR="000C5DB8" w:rsidRPr="00CE1A25">
        <w:rPr>
          <w:color w:val="auto"/>
          <w:lang w:eastAsia="en-GB"/>
        </w:rPr>
        <w:t>ve</w:t>
      </w:r>
      <w:r w:rsidR="00D6095A" w:rsidRPr="00CE1A25">
        <w:rPr>
          <w:color w:val="auto"/>
          <w:lang w:eastAsia="en-GB"/>
        </w:rPr>
        <w:t xml:space="preserve"> been identified </w:t>
      </w:r>
      <w:r w:rsidR="00295454" w:rsidRPr="00CE1A25">
        <w:rPr>
          <w:color w:val="auto"/>
          <w:lang w:eastAsia="en-GB"/>
        </w:rPr>
        <w:t>to</w:t>
      </w:r>
      <w:r w:rsidR="00D6095A" w:rsidRPr="00CE1A25">
        <w:rPr>
          <w:color w:val="auto"/>
          <w:lang w:eastAsia="en-GB"/>
        </w:rPr>
        <w:t xml:space="preserve"> account for relative price effects</w:t>
      </w:r>
      <w:r w:rsidRPr="00CE1A25">
        <w:rPr>
          <w:rStyle w:val="FootnoteReference"/>
          <w:color w:val="auto"/>
          <w:lang w:eastAsia="en-GB"/>
        </w:rPr>
        <w:footnoteReference w:id="8"/>
      </w:r>
      <w:r w:rsidR="00AB3399" w:rsidRPr="00CE1A25">
        <w:rPr>
          <w:color w:val="auto"/>
          <w:lang w:eastAsia="en-GB"/>
        </w:rPr>
        <w:t xml:space="preserve">, with overall CPI inflation figures used where no </w:t>
      </w:r>
      <w:r w:rsidR="000741EA" w:rsidRPr="00CE1A25">
        <w:rPr>
          <w:color w:val="auto"/>
          <w:lang w:eastAsia="en-GB"/>
        </w:rPr>
        <w:t>appropriate,</w:t>
      </w:r>
      <w:r w:rsidR="00AB3399" w:rsidRPr="00CE1A25">
        <w:rPr>
          <w:color w:val="auto"/>
          <w:lang w:eastAsia="en-GB"/>
        </w:rPr>
        <w:t xml:space="preserve"> good</w:t>
      </w:r>
      <w:r w:rsidR="000D7E5E" w:rsidRPr="00CE1A25">
        <w:rPr>
          <w:color w:val="auto"/>
          <w:lang w:eastAsia="en-GB"/>
        </w:rPr>
        <w:t>s</w:t>
      </w:r>
      <w:r w:rsidR="000C5DB8" w:rsidRPr="00CE1A25">
        <w:rPr>
          <w:color w:val="auto"/>
          <w:lang w:eastAsia="en-GB"/>
        </w:rPr>
        <w:t>/service</w:t>
      </w:r>
      <w:r w:rsidR="000D7E5E" w:rsidRPr="00CE1A25">
        <w:rPr>
          <w:color w:val="auto"/>
          <w:lang w:eastAsia="en-GB"/>
        </w:rPr>
        <w:t>s</w:t>
      </w:r>
      <w:r w:rsidR="00AB3399" w:rsidRPr="00CE1A25">
        <w:rPr>
          <w:color w:val="auto"/>
          <w:lang w:eastAsia="en-GB"/>
        </w:rPr>
        <w:t>-specific CPI figure has been identified</w:t>
      </w:r>
      <w:r w:rsidR="00295454" w:rsidRPr="00CE1A25">
        <w:rPr>
          <w:color w:val="auto"/>
          <w:lang w:eastAsia="en-GB"/>
        </w:rPr>
        <w:t xml:space="preserve">. Uplift figures </w:t>
      </w:r>
      <w:r w:rsidR="00AB3399" w:rsidRPr="00CE1A25">
        <w:rPr>
          <w:color w:val="auto"/>
          <w:lang w:eastAsia="en-GB"/>
        </w:rPr>
        <w:t>with CPI codes for each cost heading can be found</w:t>
      </w:r>
      <w:r w:rsidR="00295454" w:rsidRPr="00CE1A25">
        <w:rPr>
          <w:color w:val="auto"/>
          <w:lang w:eastAsia="en-GB"/>
        </w:rPr>
        <w:t xml:space="preserve"> in </w:t>
      </w:r>
      <w:r w:rsidR="00C940FF" w:rsidRPr="00CE1A25">
        <w:rPr>
          <w:color w:val="auto"/>
          <w:lang w:eastAsia="en-GB"/>
        </w:rPr>
        <w:t>T</w:t>
      </w:r>
      <w:r w:rsidR="00295454" w:rsidRPr="00CE1A25">
        <w:rPr>
          <w:color w:val="auto"/>
          <w:lang w:eastAsia="en-GB"/>
        </w:rPr>
        <w:t xml:space="preserve">able </w:t>
      </w:r>
      <w:r w:rsidR="00C940FF" w:rsidRPr="00CE1A25">
        <w:rPr>
          <w:color w:val="auto"/>
          <w:lang w:eastAsia="en-GB"/>
        </w:rPr>
        <w:t>3</w:t>
      </w:r>
      <w:r w:rsidR="00422F71" w:rsidRPr="00CE1A25">
        <w:rPr>
          <w:color w:val="auto"/>
          <w:lang w:eastAsia="en-GB"/>
        </w:rPr>
        <w:t>.</w:t>
      </w:r>
    </w:p>
    <w:p w14:paraId="478FF732" w14:textId="283AFA22" w:rsidR="006A5068" w:rsidRPr="00CE1A25" w:rsidRDefault="006C3538" w:rsidP="00453105">
      <w:pPr>
        <w:pStyle w:val="TABLES"/>
        <w:rPr>
          <w:color w:val="auto"/>
        </w:rPr>
      </w:pPr>
      <w:r w:rsidRPr="00CE1A25">
        <w:rPr>
          <w:color w:val="auto"/>
        </w:rPr>
        <w:t xml:space="preserve">Table </w:t>
      </w:r>
      <w:r w:rsidR="005826A0" w:rsidRPr="00CE1A25">
        <w:rPr>
          <w:color w:val="auto"/>
        </w:rPr>
        <w:t>3</w:t>
      </w:r>
      <w:r w:rsidRPr="00CE1A25">
        <w:rPr>
          <w:color w:val="auto"/>
        </w:rPr>
        <w:t xml:space="preserve"> </w:t>
      </w:r>
      <w:r w:rsidR="005826A0" w:rsidRPr="00CE1A25">
        <w:rPr>
          <w:color w:val="auto"/>
        </w:rPr>
        <w:t>–</w:t>
      </w:r>
      <w:r w:rsidRPr="00CE1A25">
        <w:rPr>
          <w:color w:val="auto"/>
        </w:rPr>
        <w:t xml:space="preserve"> Uplifts</w:t>
      </w:r>
      <w:r w:rsidR="005826A0" w:rsidRPr="00CE1A25">
        <w:rPr>
          <w:color w:val="auto"/>
        </w:rPr>
        <w:t xml:space="preserve"> from 2021/22 to 2022/23</w:t>
      </w:r>
    </w:p>
    <w:tbl>
      <w:tblPr>
        <w:tblStyle w:val="TableGrid"/>
        <w:tblW w:w="0" w:type="auto"/>
        <w:tblLook w:val="04A0" w:firstRow="1" w:lastRow="0" w:firstColumn="1" w:lastColumn="0" w:noHBand="0" w:noVBand="1"/>
      </w:tblPr>
      <w:tblGrid>
        <w:gridCol w:w="5949"/>
        <w:gridCol w:w="850"/>
        <w:gridCol w:w="5529"/>
        <w:gridCol w:w="1620"/>
      </w:tblGrid>
      <w:tr w:rsidR="00CE1A25" w:rsidRPr="00CE1A25" w14:paraId="76E925D0" w14:textId="77777777" w:rsidTr="00EB7477">
        <w:tc>
          <w:tcPr>
            <w:tcW w:w="5949" w:type="dxa"/>
          </w:tcPr>
          <w:p w14:paraId="790B1ED7" w14:textId="77777777" w:rsidR="00A2589C" w:rsidRPr="00CE1A25" w:rsidRDefault="00A2589C" w:rsidP="00A2589C">
            <w:pPr>
              <w:rPr>
                <w:rFonts w:eastAsia="Times New Roman" w:cs="Arial"/>
                <w:color w:val="auto"/>
                <w:lang w:eastAsia="en-GB"/>
              </w:rPr>
            </w:pPr>
          </w:p>
        </w:tc>
        <w:tc>
          <w:tcPr>
            <w:tcW w:w="850" w:type="dxa"/>
          </w:tcPr>
          <w:p w14:paraId="3AAB0A9A" w14:textId="77777777" w:rsidR="00A2589C" w:rsidRPr="00CE1A25" w:rsidRDefault="006C3538" w:rsidP="00A2589C">
            <w:pPr>
              <w:rPr>
                <w:b/>
                <w:bCs/>
                <w:color w:val="auto"/>
                <w:lang w:eastAsia="en-GB"/>
              </w:rPr>
            </w:pPr>
            <w:r w:rsidRPr="00CE1A25">
              <w:rPr>
                <w:b/>
                <w:bCs/>
                <w:color w:val="auto"/>
                <w:lang w:eastAsia="en-GB"/>
              </w:rPr>
              <w:t>CPI Code</w:t>
            </w:r>
          </w:p>
        </w:tc>
        <w:tc>
          <w:tcPr>
            <w:tcW w:w="5529" w:type="dxa"/>
          </w:tcPr>
          <w:p w14:paraId="4EC29062" w14:textId="77777777" w:rsidR="00A2589C" w:rsidRPr="00CE1A25" w:rsidRDefault="006C3538" w:rsidP="00A2589C">
            <w:pPr>
              <w:rPr>
                <w:b/>
                <w:bCs/>
                <w:color w:val="auto"/>
                <w:lang w:eastAsia="en-GB"/>
              </w:rPr>
            </w:pPr>
            <w:r w:rsidRPr="00CE1A25">
              <w:rPr>
                <w:b/>
                <w:bCs/>
                <w:color w:val="auto"/>
                <w:lang w:eastAsia="en-GB"/>
              </w:rPr>
              <w:t>CPI Item</w:t>
            </w:r>
          </w:p>
        </w:tc>
        <w:tc>
          <w:tcPr>
            <w:tcW w:w="1620" w:type="dxa"/>
          </w:tcPr>
          <w:p w14:paraId="1929E2A9" w14:textId="77777777" w:rsidR="00A2589C" w:rsidRPr="00CE1A25" w:rsidRDefault="006C3538" w:rsidP="00A2589C">
            <w:pPr>
              <w:rPr>
                <w:b/>
                <w:bCs/>
                <w:color w:val="auto"/>
                <w:lang w:eastAsia="en-GB"/>
              </w:rPr>
            </w:pPr>
            <w:r w:rsidRPr="00CE1A25">
              <w:rPr>
                <w:b/>
                <w:bCs/>
                <w:color w:val="auto"/>
                <w:lang w:eastAsia="en-GB"/>
              </w:rPr>
              <w:t>12 Month % change to April 2022</w:t>
            </w:r>
          </w:p>
        </w:tc>
      </w:tr>
      <w:tr w:rsidR="00CE1A25" w:rsidRPr="00CE1A25" w14:paraId="48426747" w14:textId="77777777" w:rsidTr="00EB7477">
        <w:tc>
          <w:tcPr>
            <w:tcW w:w="5949" w:type="dxa"/>
          </w:tcPr>
          <w:p w14:paraId="695C9425" w14:textId="1D5B116F" w:rsidR="00A2589C" w:rsidRPr="00CE1A25" w:rsidRDefault="00C14B2E" w:rsidP="00A2589C">
            <w:pPr>
              <w:rPr>
                <w:color w:val="auto"/>
                <w:lang w:eastAsia="en-GB"/>
              </w:rPr>
            </w:pPr>
            <w:r w:rsidRPr="00CE1A25">
              <w:rPr>
                <w:color w:val="auto"/>
                <w:lang w:eastAsia="en-GB"/>
              </w:rPr>
              <w:t>Low paid staff (carers and domestic staff)</w:t>
            </w:r>
          </w:p>
        </w:tc>
        <w:tc>
          <w:tcPr>
            <w:tcW w:w="850" w:type="dxa"/>
          </w:tcPr>
          <w:p w14:paraId="1FAC4BC0" w14:textId="77777777" w:rsidR="00A2589C" w:rsidRPr="00CE1A25" w:rsidRDefault="006C3538" w:rsidP="00A2589C">
            <w:pPr>
              <w:rPr>
                <w:color w:val="auto"/>
                <w:lang w:eastAsia="en-GB"/>
              </w:rPr>
            </w:pPr>
            <w:r w:rsidRPr="00CE1A25">
              <w:rPr>
                <w:color w:val="auto"/>
                <w:lang w:eastAsia="en-GB"/>
              </w:rPr>
              <w:t>-</w:t>
            </w:r>
          </w:p>
        </w:tc>
        <w:tc>
          <w:tcPr>
            <w:tcW w:w="5529" w:type="dxa"/>
          </w:tcPr>
          <w:p w14:paraId="2FE2C557" w14:textId="265A90D1" w:rsidR="00A2589C" w:rsidRPr="00CE1A25" w:rsidRDefault="006C3538" w:rsidP="00A2589C">
            <w:pPr>
              <w:rPr>
                <w:color w:val="auto"/>
                <w:lang w:eastAsia="en-GB"/>
              </w:rPr>
            </w:pPr>
            <w:r w:rsidRPr="00CE1A25">
              <w:rPr>
                <w:color w:val="auto"/>
                <w:lang w:eastAsia="en-GB"/>
              </w:rPr>
              <w:t>National Living Wage % increase</w:t>
            </w:r>
            <w:r w:rsidR="00AD1B1B" w:rsidRPr="00CE1A25">
              <w:rPr>
                <w:color w:val="auto"/>
                <w:lang w:eastAsia="en-GB"/>
              </w:rPr>
              <w:t>, April - April</w:t>
            </w:r>
            <w:r w:rsidRPr="00CE1A25">
              <w:rPr>
                <w:rStyle w:val="FootnoteReference"/>
                <w:color w:val="auto"/>
                <w:lang w:eastAsia="en-GB"/>
              </w:rPr>
              <w:footnoteReference w:id="9"/>
            </w:r>
          </w:p>
        </w:tc>
        <w:tc>
          <w:tcPr>
            <w:tcW w:w="1620" w:type="dxa"/>
          </w:tcPr>
          <w:p w14:paraId="29B9641D" w14:textId="77777777" w:rsidR="00A2589C" w:rsidRPr="00CE1A25" w:rsidRDefault="006C3538" w:rsidP="00A2589C">
            <w:pPr>
              <w:rPr>
                <w:color w:val="auto"/>
                <w:lang w:eastAsia="en-GB"/>
              </w:rPr>
            </w:pPr>
            <w:r w:rsidRPr="00CE1A25">
              <w:rPr>
                <w:color w:val="auto"/>
                <w:lang w:eastAsia="en-GB"/>
              </w:rPr>
              <w:t>6.6</w:t>
            </w:r>
          </w:p>
        </w:tc>
      </w:tr>
      <w:tr w:rsidR="00CE1A25" w:rsidRPr="00CE1A25" w14:paraId="6440C1E4" w14:textId="77777777" w:rsidTr="00EB7477">
        <w:trPr>
          <w:trHeight w:val="315"/>
        </w:trPr>
        <w:tc>
          <w:tcPr>
            <w:tcW w:w="5949" w:type="dxa"/>
            <w:noWrap/>
          </w:tcPr>
          <w:p w14:paraId="3601100A" w14:textId="66803F25" w:rsidR="00C14B2E" w:rsidRPr="00CE1A25" w:rsidRDefault="00C14B2E" w:rsidP="00A2589C">
            <w:pPr>
              <w:rPr>
                <w:rFonts w:eastAsia="Times New Roman" w:cs="Arial"/>
                <w:color w:val="auto"/>
                <w:lang w:eastAsia="en-GB"/>
              </w:rPr>
            </w:pPr>
            <w:r w:rsidRPr="00CE1A25">
              <w:rPr>
                <w:rFonts w:eastAsia="Times New Roman" w:cs="Arial"/>
                <w:color w:val="auto"/>
                <w:lang w:eastAsia="en-GB"/>
              </w:rPr>
              <w:t>Other staff (nurses</w:t>
            </w:r>
            <w:r w:rsidR="00AD1B1B" w:rsidRPr="00CE1A25">
              <w:rPr>
                <w:rFonts w:eastAsia="Times New Roman" w:cs="Arial"/>
                <w:color w:val="auto"/>
                <w:lang w:eastAsia="en-GB"/>
              </w:rPr>
              <w:t xml:space="preserve"> and back office)</w:t>
            </w:r>
          </w:p>
        </w:tc>
        <w:tc>
          <w:tcPr>
            <w:tcW w:w="850" w:type="dxa"/>
          </w:tcPr>
          <w:p w14:paraId="61D11756" w14:textId="61034E20" w:rsidR="00C14B2E" w:rsidRPr="00CE1A25" w:rsidRDefault="00AD1B1B" w:rsidP="00A2589C">
            <w:pPr>
              <w:rPr>
                <w:rFonts w:eastAsia="Times New Roman" w:cs="Arial"/>
                <w:color w:val="auto"/>
                <w:lang w:eastAsia="en-GB"/>
              </w:rPr>
            </w:pPr>
            <w:r w:rsidRPr="00CE1A25">
              <w:rPr>
                <w:rFonts w:eastAsia="Times New Roman" w:cs="Arial"/>
                <w:color w:val="auto"/>
                <w:lang w:eastAsia="en-GB"/>
              </w:rPr>
              <w:t>-</w:t>
            </w:r>
          </w:p>
        </w:tc>
        <w:tc>
          <w:tcPr>
            <w:tcW w:w="5529" w:type="dxa"/>
          </w:tcPr>
          <w:p w14:paraId="2D7937ED" w14:textId="40470BBF" w:rsidR="00C14B2E" w:rsidRPr="00CE1A25" w:rsidRDefault="00AD1B1B" w:rsidP="00A2589C">
            <w:pPr>
              <w:rPr>
                <w:rFonts w:eastAsia="Times New Roman" w:cs="Arial"/>
                <w:color w:val="auto"/>
                <w:lang w:eastAsia="en-GB"/>
              </w:rPr>
            </w:pPr>
            <w:r w:rsidRPr="00CE1A25">
              <w:rPr>
                <w:rFonts w:eastAsia="Times New Roman" w:cs="Arial"/>
                <w:color w:val="auto"/>
                <w:lang w:eastAsia="en-GB"/>
              </w:rPr>
              <w:t xml:space="preserve">Average earnings index, </w:t>
            </w:r>
            <w:r w:rsidRPr="00CE1A25">
              <w:rPr>
                <w:color w:val="auto"/>
                <w:lang w:eastAsia="en-GB"/>
              </w:rPr>
              <w:t xml:space="preserve">April </w:t>
            </w:r>
            <w:r w:rsidR="00F51BFF" w:rsidRPr="00CE1A25">
              <w:rPr>
                <w:color w:val="auto"/>
                <w:lang w:eastAsia="en-GB"/>
              </w:rPr>
              <w:t>–</w:t>
            </w:r>
            <w:r w:rsidRPr="00CE1A25">
              <w:rPr>
                <w:color w:val="auto"/>
                <w:lang w:eastAsia="en-GB"/>
              </w:rPr>
              <w:t xml:space="preserve"> April</w:t>
            </w:r>
          </w:p>
        </w:tc>
        <w:tc>
          <w:tcPr>
            <w:tcW w:w="1620" w:type="dxa"/>
          </w:tcPr>
          <w:p w14:paraId="1E635857" w14:textId="117FE1B2" w:rsidR="00C14B2E" w:rsidRPr="00CE1A25" w:rsidRDefault="00AD1B1B" w:rsidP="00A2589C">
            <w:pPr>
              <w:rPr>
                <w:rFonts w:eastAsia="Times New Roman" w:cs="Arial"/>
                <w:color w:val="auto"/>
                <w:lang w:eastAsia="en-GB"/>
              </w:rPr>
            </w:pPr>
            <w:r w:rsidRPr="00CE1A25">
              <w:rPr>
                <w:rFonts w:eastAsia="Times New Roman" w:cs="Arial"/>
                <w:color w:val="auto"/>
                <w:lang w:eastAsia="en-GB"/>
              </w:rPr>
              <w:t>4.1</w:t>
            </w:r>
          </w:p>
        </w:tc>
      </w:tr>
      <w:tr w:rsidR="00CE1A25" w:rsidRPr="00CE1A25" w14:paraId="751A65B4" w14:textId="77777777" w:rsidTr="00EB7477">
        <w:trPr>
          <w:trHeight w:val="315"/>
        </w:trPr>
        <w:tc>
          <w:tcPr>
            <w:tcW w:w="5949" w:type="dxa"/>
            <w:noWrap/>
            <w:hideMark/>
          </w:tcPr>
          <w:p w14:paraId="3680F838"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Fixtures &amp; fittings</w:t>
            </w:r>
          </w:p>
        </w:tc>
        <w:tc>
          <w:tcPr>
            <w:tcW w:w="850" w:type="dxa"/>
          </w:tcPr>
          <w:p w14:paraId="0CBF45A1"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D7GW</w:t>
            </w:r>
          </w:p>
        </w:tc>
        <w:tc>
          <w:tcPr>
            <w:tcW w:w="5529" w:type="dxa"/>
          </w:tcPr>
          <w:p w14:paraId="20DED75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 xml:space="preserve">05.3 Household appliances, </w:t>
            </w:r>
            <w:r w:rsidR="00C65F86" w:rsidRPr="00CE1A25">
              <w:rPr>
                <w:rFonts w:eastAsia="Times New Roman" w:cs="Arial"/>
                <w:color w:val="auto"/>
                <w:lang w:eastAsia="en-GB"/>
              </w:rPr>
              <w:t>fitting,</w:t>
            </w:r>
            <w:r w:rsidRPr="00CE1A25">
              <w:rPr>
                <w:rFonts w:eastAsia="Times New Roman" w:cs="Arial"/>
                <w:color w:val="auto"/>
                <w:lang w:eastAsia="en-GB"/>
              </w:rPr>
              <w:t xml:space="preserve"> and repairs</w:t>
            </w:r>
          </w:p>
        </w:tc>
        <w:tc>
          <w:tcPr>
            <w:tcW w:w="1620" w:type="dxa"/>
          </w:tcPr>
          <w:p w14:paraId="1FF780F1"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9.9</w:t>
            </w:r>
          </w:p>
        </w:tc>
      </w:tr>
      <w:tr w:rsidR="00CE1A25" w:rsidRPr="00CE1A25" w14:paraId="08D4DF12" w14:textId="77777777" w:rsidTr="00EB7477">
        <w:trPr>
          <w:trHeight w:val="315"/>
        </w:trPr>
        <w:tc>
          <w:tcPr>
            <w:tcW w:w="5949" w:type="dxa"/>
            <w:noWrap/>
            <w:hideMark/>
          </w:tcPr>
          <w:p w14:paraId="10BCA786"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Repairs and maintenance</w:t>
            </w:r>
          </w:p>
        </w:tc>
        <w:tc>
          <w:tcPr>
            <w:tcW w:w="850" w:type="dxa"/>
          </w:tcPr>
          <w:p w14:paraId="30738058"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D7GR</w:t>
            </w:r>
          </w:p>
        </w:tc>
        <w:tc>
          <w:tcPr>
            <w:tcW w:w="5529" w:type="dxa"/>
          </w:tcPr>
          <w:p w14:paraId="5A0F8071"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04.3 Regular maintenance and repair of the dwelling</w:t>
            </w:r>
          </w:p>
        </w:tc>
        <w:tc>
          <w:tcPr>
            <w:tcW w:w="1620" w:type="dxa"/>
          </w:tcPr>
          <w:p w14:paraId="1FBF4C0A"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7.6</w:t>
            </w:r>
          </w:p>
        </w:tc>
      </w:tr>
      <w:tr w:rsidR="00CE1A25" w:rsidRPr="00CE1A25" w14:paraId="7095ECFF" w14:textId="77777777" w:rsidTr="00EB7477">
        <w:trPr>
          <w:trHeight w:val="315"/>
        </w:trPr>
        <w:tc>
          <w:tcPr>
            <w:tcW w:w="5949" w:type="dxa"/>
            <w:noWrap/>
            <w:hideMark/>
          </w:tcPr>
          <w:p w14:paraId="697E7B4C"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lastRenderedPageBreak/>
              <w:t xml:space="preserve">Furniture, </w:t>
            </w:r>
            <w:r w:rsidR="00C65F86" w:rsidRPr="00CE1A25">
              <w:rPr>
                <w:rFonts w:eastAsia="Times New Roman" w:cs="Arial"/>
                <w:color w:val="auto"/>
                <w:lang w:eastAsia="en-GB"/>
              </w:rPr>
              <w:t>furnishings,</w:t>
            </w:r>
            <w:r w:rsidRPr="00CE1A25">
              <w:rPr>
                <w:rFonts w:eastAsia="Times New Roman" w:cs="Arial"/>
                <w:color w:val="auto"/>
                <w:lang w:eastAsia="en-GB"/>
              </w:rPr>
              <w:t xml:space="preserve"> and equipment</w:t>
            </w:r>
          </w:p>
        </w:tc>
        <w:tc>
          <w:tcPr>
            <w:tcW w:w="850" w:type="dxa"/>
          </w:tcPr>
          <w:p w14:paraId="344CF092"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D7GU</w:t>
            </w:r>
          </w:p>
        </w:tc>
        <w:tc>
          <w:tcPr>
            <w:tcW w:w="5529" w:type="dxa"/>
          </w:tcPr>
          <w:p w14:paraId="06B5E257"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 xml:space="preserve">05.1 Furniture, </w:t>
            </w:r>
            <w:r w:rsidR="00C65F86" w:rsidRPr="00CE1A25">
              <w:rPr>
                <w:rFonts w:eastAsia="Times New Roman" w:cs="Arial"/>
                <w:color w:val="auto"/>
                <w:lang w:eastAsia="en-GB"/>
              </w:rPr>
              <w:t>furnishings,</w:t>
            </w:r>
            <w:r w:rsidRPr="00CE1A25">
              <w:rPr>
                <w:rFonts w:eastAsia="Times New Roman" w:cs="Arial"/>
                <w:color w:val="auto"/>
                <w:lang w:eastAsia="en-GB"/>
              </w:rPr>
              <w:t xml:space="preserve"> and carpets</w:t>
            </w:r>
          </w:p>
        </w:tc>
        <w:tc>
          <w:tcPr>
            <w:tcW w:w="1620" w:type="dxa"/>
          </w:tcPr>
          <w:p w14:paraId="0AB8DA28"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15.0</w:t>
            </w:r>
          </w:p>
        </w:tc>
      </w:tr>
      <w:tr w:rsidR="00CE1A25" w:rsidRPr="00CE1A25" w14:paraId="1D758009" w14:textId="77777777" w:rsidTr="00EB7477">
        <w:trPr>
          <w:trHeight w:val="315"/>
        </w:trPr>
        <w:tc>
          <w:tcPr>
            <w:tcW w:w="5949" w:type="dxa"/>
            <w:noWrap/>
            <w:hideMark/>
          </w:tcPr>
          <w:p w14:paraId="42B1E2E1" w14:textId="77777777" w:rsidR="00A2589C" w:rsidRPr="00CE1A25" w:rsidRDefault="006C3538" w:rsidP="00A2589C">
            <w:pPr>
              <w:rPr>
                <w:rFonts w:eastAsia="Times New Roman" w:cs="Courier New"/>
                <w:color w:val="auto"/>
                <w:lang w:eastAsia="en-GB"/>
              </w:rPr>
            </w:pPr>
            <w:r w:rsidRPr="00CE1A25">
              <w:rPr>
                <w:rFonts w:eastAsia="Times New Roman" w:cs="Arial"/>
                <w:i/>
                <w:iCs/>
                <w:color w:val="auto"/>
                <w:lang w:eastAsia="en-GB"/>
              </w:rPr>
              <w:t>Other care home premises costs</w:t>
            </w:r>
          </w:p>
        </w:tc>
        <w:tc>
          <w:tcPr>
            <w:tcW w:w="850" w:type="dxa"/>
          </w:tcPr>
          <w:p w14:paraId="3D59AF79" w14:textId="77777777" w:rsidR="00A2589C" w:rsidRPr="00CE1A25" w:rsidRDefault="006C3538" w:rsidP="00A2589C">
            <w:pPr>
              <w:rPr>
                <w:rFonts w:eastAsia="Times New Roman" w:cs="Arial"/>
                <w:i/>
                <w:iCs/>
                <w:color w:val="auto"/>
                <w:lang w:eastAsia="en-GB"/>
              </w:rPr>
            </w:pPr>
            <w:r w:rsidRPr="00CE1A25">
              <w:rPr>
                <w:rFonts w:eastAsia="Times New Roman" w:cs="Arial"/>
                <w:color w:val="auto"/>
                <w:lang w:eastAsia="en-GB"/>
              </w:rPr>
              <w:t>D7G7</w:t>
            </w:r>
          </w:p>
        </w:tc>
        <w:tc>
          <w:tcPr>
            <w:tcW w:w="5529" w:type="dxa"/>
          </w:tcPr>
          <w:p w14:paraId="34AD97B7" w14:textId="77777777" w:rsidR="00A2589C" w:rsidRPr="00CE1A25" w:rsidRDefault="006C3538" w:rsidP="00A2589C">
            <w:pPr>
              <w:rPr>
                <w:rFonts w:eastAsia="Times New Roman" w:cs="Arial"/>
                <w:i/>
                <w:iCs/>
                <w:color w:val="auto"/>
                <w:lang w:eastAsia="en-GB"/>
              </w:rPr>
            </w:pPr>
            <w:r w:rsidRPr="00CE1A25">
              <w:rPr>
                <w:rFonts w:eastAsia="Times New Roman" w:cs="Arial"/>
                <w:color w:val="auto"/>
                <w:lang w:eastAsia="en-GB"/>
              </w:rPr>
              <w:t>CPI (overall index)</w:t>
            </w:r>
          </w:p>
        </w:tc>
        <w:tc>
          <w:tcPr>
            <w:tcW w:w="1620" w:type="dxa"/>
          </w:tcPr>
          <w:p w14:paraId="02A20A65" w14:textId="77777777" w:rsidR="00A2589C" w:rsidRPr="00CE1A25" w:rsidRDefault="006C3538" w:rsidP="00A2589C">
            <w:pPr>
              <w:rPr>
                <w:rFonts w:eastAsia="Times New Roman" w:cs="Arial"/>
                <w:i/>
                <w:iCs/>
                <w:color w:val="auto"/>
                <w:lang w:eastAsia="en-GB"/>
              </w:rPr>
            </w:pPr>
            <w:r w:rsidRPr="00CE1A25">
              <w:rPr>
                <w:rFonts w:eastAsia="Times New Roman" w:cs="Arial"/>
                <w:i/>
                <w:iCs/>
                <w:color w:val="auto"/>
                <w:lang w:eastAsia="en-GB"/>
              </w:rPr>
              <w:t>9.0</w:t>
            </w:r>
          </w:p>
        </w:tc>
      </w:tr>
      <w:tr w:rsidR="00CE1A25" w:rsidRPr="00CE1A25" w14:paraId="260B683E" w14:textId="77777777" w:rsidTr="00EB7477">
        <w:trPr>
          <w:trHeight w:val="315"/>
        </w:trPr>
        <w:tc>
          <w:tcPr>
            <w:tcW w:w="5949" w:type="dxa"/>
            <w:noWrap/>
            <w:hideMark/>
          </w:tcPr>
          <w:p w14:paraId="3FBDADB7"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Food supplies</w:t>
            </w:r>
          </w:p>
        </w:tc>
        <w:tc>
          <w:tcPr>
            <w:tcW w:w="850" w:type="dxa"/>
          </w:tcPr>
          <w:p w14:paraId="6ABE2B28"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D7G8</w:t>
            </w:r>
          </w:p>
        </w:tc>
        <w:tc>
          <w:tcPr>
            <w:tcW w:w="5529" w:type="dxa"/>
          </w:tcPr>
          <w:p w14:paraId="1C8A8A08"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01    Food and non-alcoholic beverages</w:t>
            </w:r>
          </w:p>
        </w:tc>
        <w:tc>
          <w:tcPr>
            <w:tcW w:w="1620" w:type="dxa"/>
          </w:tcPr>
          <w:p w14:paraId="09DE08FC"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6.7</w:t>
            </w:r>
          </w:p>
        </w:tc>
      </w:tr>
      <w:tr w:rsidR="00CE1A25" w:rsidRPr="00CE1A25" w14:paraId="54E17B0D" w14:textId="77777777" w:rsidTr="00EB7477">
        <w:trPr>
          <w:trHeight w:val="315"/>
        </w:trPr>
        <w:tc>
          <w:tcPr>
            <w:tcW w:w="5949" w:type="dxa"/>
            <w:noWrap/>
            <w:hideMark/>
          </w:tcPr>
          <w:p w14:paraId="1EAACAF2"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 xml:space="preserve">Domestic and cleaning supplies </w:t>
            </w:r>
          </w:p>
        </w:tc>
        <w:tc>
          <w:tcPr>
            <w:tcW w:w="850" w:type="dxa"/>
          </w:tcPr>
          <w:p w14:paraId="1938772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D7GZ</w:t>
            </w:r>
          </w:p>
        </w:tc>
        <w:tc>
          <w:tcPr>
            <w:tcW w:w="5529" w:type="dxa"/>
          </w:tcPr>
          <w:p w14:paraId="263F4FA9"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05.6 Goods and services for routine maintenance</w:t>
            </w:r>
          </w:p>
        </w:tc>
        <w:tc>
          <w:tcPr>
            <w:tcW w:w="1620" w:type="dxa"/>
          </w:tcPr>
          <w:p w14:paraId="65DFC6FB"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6.8</w:t>
            </w:r>
          </w:p>
        </w:tc>
      </w:tr>
      <w:tr w:rsidR="00CE1A25" w:rsidRPr="00CE1A25" w14:paraId="4DBBBA21" w14:textId="77777777" w:rsidTr="00EB7477">
        <w:trPr>
          <w:trHeight w:val="315"/>
        </w:trPr>
        <w:tc>
          <w:tcPr>
            <w:tcW w:w="5949" w:type="dxa"/>
            <w:noWrap/>
            <w:hideMark/>
          </w:tcPr>
          <w:p w14:paraId="693A82D4"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Medical supplies (excluding PPE)</w:t>
            </w:r>
          </w:p>
        </w:tc>
        <w:tc>
          <w:tcPr>
            <w:tcW w:w="850" w:type="dxa"/>
          </w:tcPr>
          <w:p w14:paraId="04B9E872"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D7NO</w:t>
            </w:r>
          </w:p>
        </w:tc>
        <w:tc>
          <w:tcPr>
            <w:tcW w:w="5529" w:type="dxa"/>
          </w:tcPr>
          <w:p w14:paraId="6B17005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 xml:space="preserve">06.1 Medical products, </w:t>
            </w:r>
            <w:r w:rsidR="00C65F86" w:rsidRPr="00CE1A25">
              <w:rPr>
                <w:rFonts w:eastAsia="Times New Roman" w:cs="Arial"/>
                <w:color w:val="auto"/>
                <w:lang w:eastAsia="en-GB"/>
              </w:rPr>
              <w:t>appliances,</w:t>
            </w:r>
            <w:r w:rsidRPr="00CE1A25">
              <w:rPr>
                <w:rFonts w:eastAsia="Times New Roman" w:cs="Arial"/>
                <w:color w:val="auto"/>
                <w:lang w:eastAsia="en-GB"/>
              </w:rPr>
              <w:t xml:space="preserve"> and equipment</w:t>
            </w:r>
          </w:p>
        </w:tc>
        <w:tc>
          <w:tcPr>
            <w:tcW w:w="1620" w:type="dxa"/>
          </w:tcPr>
          <w:p w14:paraId="6C74891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1.3</w:t>
            </w:r>
          </w:p>
        </w:tc>
      </w:tr>
      <w:tr w:rsidR="00CE1A25" w:rsidRPr="00CE1A25" w14:paraId="398C9E40" w14:textId="77777777" w:rsidTr="00EB7477">
        <w:trPr>
          <w:trHeight w:val="315"/>
        </w:trPr>
        <w:tc>
          <w:tcPr>
            <w:tcW w:w="5949" w:type="dxa"/>
            <w:noWrap/>
            <w:hideMark/>
          </w:tcPr>
          <w:p w14:paraId="35E05330"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PPE</w:t>
            </w:r>
          </w:p>
        </w:tc>
        <w:tc>
          <w:tcPr>
            <w:tcW w:w="850" w:type="dxa"/>
          </w:tcPr>
          <w:p w14:paraId="79E4320C"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D7NO</w:t>
            </w:r>
          </w:p>
        </w:tc>
        <w:tc>
          <w:tcPr>
            <w:tcW w:w="5529" w:type="dxa"/>
          </w:tcPr>
          <w:p w14:paraId="4260FFDA"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 xml:space="preserve">06.1 Medical products, </w:t>
            </w:r>
            <w:r w:rsidR="00C65F86" w:rsidRPr="00CE1A25">
              <w:rPr>
                <w:rFonts w:eastAsia="Times New Roman" w:cs="Arial"/>
                <w:color w:val="auto"/>
                <w:lang w:eastAsia="en-GB"/>
              </w:rPr>
              <w:t>appliances,</w:t>
            </w:r>
            <w:r w:rsidRPr="00CE1A25">
              <w:rPr>
                <w:rFonts w:eastAsia="Times New Roman" w:cs="Arial"/>
                <w:color w:val="auto"/>
                <w:lang w:eastAsia="en-GB"/>
              </w:rPr>
              <w:t xml:space="preserve"> and equipment</w:t>
            </w:r>
          </w:p>
        </w:tc>
        <w:tc>
          <w:tcPr>
            <w:tcW w:w="1620" w:type="dxa"/>
          </w:tcPr>
          <w:p w14:paraId="1E443406"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1.3</w:t>
            </w:r>
          </w:p>
        </w:tc>
      </w:tr>
      <w:tr w:rsidR="00CE1A25" w:rsidRPr="00CE1A25" w14:paraId="66A759D6" w14:textId="77777777" w:rsidTr="00EB7477">
        <w:trPr>
          <w:trHeight w:val="315"/>
        </w:trPr>
        <w:tc>
          <w:tcPr>
            <w:tcW w:w="5949" w:type="dxa"/>
            <w:noWrap/>
            <w:hideMark/>
          </w:tcPr>
          <w:p w14:paraId="629FCF72"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Office Supplies</w:t>
            </w:r>
          </w:p>
        </w:tc>
        <w:tc>
          <w:tcPr>
            <w:tcW w:w="850" w:type="dxa"/>
          </w:tcPr>
          <w:p w14:paraId="27E62C38"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D7IH</w:t>
            </w:r>
          </w:p>
        </w:tc>
        <w:tc>
          <w:tcPr>
            <w:tcW w:w="5529" w:type="dxa"/>
          </w:tcPr>
          <w:p w14:paraId="443B3816" w14:textId="77777777" w:rsidR="00A2589C" w:rsidRPr="00CE1A25" w:rsidRDefault="006C3538" w:rsidP="00A2589C">
            <w:pPr>
              <w:rPr>
                <w:rFonts w:ascii="Calibri" w:hAnsi="Calibri" w:cs="Calibri"/>
                <w:color w:val="auto"/>
              </w:rPr>
            </w:pPr>
            <w:r w:rsidRPr="00CE1A25">
              <w:rPr>
                <w:rFonts w:ascii="Calibri" w:hAnsi="Calibri" w:cs="Calibri"/>
                <w:color w:val="auto"/>
              </w:rPr>
              <w:t>05.6.1 Non-durable household goods</w:t>
            </w:r>
          </w:p>
        </w:tc>
        <w:tc>
          <w:tcPr>
            <w:tcW w:w="1620" w:type="dxa"/>
          </w:tcPr>
          <w:p w14:paraId="2EE3725E"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10.3</w:t>
            </w:r>
          </w:p>
        </w:tc>
      </w:tr>
      <w:tr w:rsidR="00CE1A25" w:rsidRPr="00CE1A25" w14:paraId="22898A6B" w14:textId="77777777" w:rsidTr="00EB7477">
        <w:trPr>
          <w:trHeight w:val="315"/>
        </w:trPr>
        <w:tc>
          <w:tcPr>
            <w:tcW w:w="5949" w:type="dxa"/>
            <w:noWrap/>
            <w:hideMark/>
          </w:tcPr>
          <w:p w14:paraId="3D2E50D7"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Insurance (all risks)</w:t>
            </w:r>
          </w:p>
        </w:tc>
        <w:tc>
          <w:tcPr>
            <w:tcW w:w="850" w:type="dxa"/>
          </w:tcPr>
          <w:p w14:paraId="34E029BD"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D7HF</w:t>
            </w:r>
          </w:p>
        </w:tc>
        <w:tc>
          <w:tcPr>
            <w:tcW w:w="5529" w:type="dxa"/>
          </w:tcPr>
          <w:p w14:paraId="16AE052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12.5 Insurance</w:t>
            </w:r>
          </w:p>
        </w:tc>
        <w:tc>
          <w:tcPr>
            <w:tcW w:w="1620" w:type="dxa"/>
          </w:tcPr>
          <w:p w14:paraId="2D07E283"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11.7</w:t>
            </w:r>
          </w:p>
        </w:tc>
      </w:tr>
      <w:tr w:rsidR="00CE1A25" w:rsidRPr="00CE1A25" w14:paraId="4C83A898" w14:textId="77777777" w:rsidTr="00EB7477">
        <w:trPr>
          <w:trHeight w:val="315"/>
        </w:trPr>
        <w:tc>
          <w:tcPr>
            <w:tcW w:w="5949" w:type="dxa"/>
            <w:noWrap/>
            <w:hideMark/>
          </w:tcPr>
          <w:p w14:paraId="118FE1A6"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Registration fees</w:t>
            </w:r>
          </w:p>
        </w:tc>
        <w:tc>
          <w:tcPr>
            <w:tcW w:w="850" w:type="dxa"/>
          </w:tcPr>
          <w:p w14:paraId="57D04850"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D7G7</w:t>
            </w:r>
          </w:p>
        </w:tc>
        <w:tc>
          <w:tcPr>
            <w:tcW w:w="5529" w:type="dxa"/>
          </w:tcPr>
          <w:p w14:paraId="6C7308F1"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CPI (overall index)</w:t>
            </w:r>
          </w:p>
        </w:tc>
        <w:tc>
          <w:tcPr>
            <w:tcW w:w="1620" w:type="dxa"/>
          </w:tcPr>
          <w:p w14:paraId="142AE443"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9.0</w:t>
            </w:r>
          </w:p>
        </w:tc>
      </w:tr>
      <w:tr w:rsidR="00CE1A25" w:rsidRPr="00CE1A25" w14:paraId="67034CF1" w14:textId="77777777" w:rsidTr="00EB7477">
        <w:trPr>
          <w:trHeight w:val="315"/>
        </w:trPr>
        <w:tc>
          <w:tcPr>
            <w:tcW w:w="5949" w:type="dxa"/>
            <w:noWrap/>
            <w:hideMark/>
          </w:tcPr>
          <w:p w14:paraId="71E7A948"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Telephone &amp; internet</w:t>
            </w:r>
          </w:p>
        </w:tc>
        <w:tc>
          <w:tcPr>
            <w:tcW w:w="850" w:type="dxa"/>
          </w:tcPr>
          <w:p w14:paraId="5F5615BB"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D7GF</w:t>
            </w:r>
          </w:p>
        </w:tc>
        <w:tc>
          <w:tcPr>
            <w:tcW w:w="5529" w:type="dxa"/>
          </w:tcPr>
          <w:p w14:paraId="048C9A67"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08    Communication</w:t>
            </w:r>
          </w:p>
        </w:tc>
        <w:tc>
          <w:tcPr>
            <w:tcW w:w="1620" w:type="dxa"/>
          </w:tcPr>
          <w:p w14:paraId="210C1160"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2.8</w:t>
            </w:r>
          </w:p>
        </w:tc>
      </w:tr>
      <w:tr w:rsidR="00CE1A25" w:rsidRPr="00CE1A25" w14:paraId="7524DB59" w14:textId="77777777" w:rsidTr="00EB7477">
        <w:trPr>
          <w:trHeight w:val="315"/>
        </w:trPr>
        <w:tc>
          <w:tcPr>
            <w:tcW w:w="5949" w:type="dxa"/>
            <w:noWrap/>
            <w:hideMark/>
          </w:tcPr>
          <w:p w14:paraId="04AB94D1"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Council tax / rates</w:t>
            </w:r>
          </w:p>
        </w:tc>
        <w:tc>
          <w:tcPr>
            <w:tcW w:w="850" w:type="dxa"/>
          </w:tcPr>
          <w:p w14:paraId="4578D28B"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CRQT</w:t>
            </w:r>
          </w:p>
        </w:tc>
        <w:tc>
          <w:tcPr>
            <w:tcW w:w="5529" w:type="dxa"/>
          </w:tcPr>
          <w:p w14:paraId="4731F650"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Council tax and rates (CPIH)</w:t>
            </w:r>
            <w:r w:rsidRPr="00CE1A25">
              <w:rPr>
                <w:rStyle w:val="FootnoteReference"/>
                <w:rFonts w:eastAsia="Times New Roman" w:cs="Arial"/>
                <w:color w:val="auto"/>
                <w:lang w:eastAsia="en-GB"/>
              </w:rPr>
              <w:footnoteReference w:id="10"/>
            </w:r>
          </w:p>
        </w:tc>
        <w:tc>
          <w:tcPr>
            <w:tcW w:w="1620" w:type="dxa"/>
          </w:tcPr>
          <w:p w14:paraId="62C33067"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7.9</w:t>
            </w:r>
          </w:p>
        </w:tc>
      </w:tr>
      <w:tr w:rsidR="00CE1A25" w:rsidRPr="00CE1A25" w14:paraId="265129D1" w14:textId="77777777" w:rsidTr="00EB7477">
        <w:trPr>
          <w:trHeight w:val="315"/>
        </w:trPr>
        <w:tc>
          <w:tcPr>
            <w:tcW w:w="5949" w:type="dxa"/>
            <w:noWrap/>
            <w:hideMark/>
          </w:tcPr>
          <w:p w14:paraId="21FFCFCF"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Electricity, Gas &amp; Water</w:t>
            </w:r>
          </w:p>
        </w:tc>
        <w:tc>
          <w:tcPr>
            <w:tcW w:w="850" w:type="dxa"/>
          </w:tcPr>
          <w:p w14:paraId="6DD3F005"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D7GB</w:t>
            </w:r>
          </w:p>
        </w:tc>
        <w:tc>
          <w:tcPr>
            <w:tcW w:w="5529" w:type="dxa"/>
          </w:tcPr>
          <w:p w14:paraId="76ABD604"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04    Housing, water, electricity, gas and other fuels</w:t>
            </w:r>
          </w:p>
        </w:tc>
        <w:tc>
          <w:tcPr>
            <w:tcW w:w="1620" w:type="dxa"/>
          </w:tcPr>
          <w:p w14:paraId="393E4E5D"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19.2</w:t>
            </w:r>
          </w:p>
        </w:tc>
      </w:tr>
      <w:tr w:rsidR="00CE1A25" w:rsidRPr="00CE1A25" w14:paraId="7EC34767" w14:textId="77777777" w:rsidTr="00EB7477">
        <w:trPr>
          <w:trHeight w:val="315"/>
        </w:trPr>
        <w:tc>
          <w:tcPr>
            <w:tcW w:w="5949" w:type="dxa"/>
            <w:noWrap/>
            <w:hideMark/>
          </w:tcPr>
          <w:p w14:paraId="12BDFD36"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Trade and clinical waste</w:t>
            </w:r>
          </w:p>
        </w:tc>
        <w:tc>
          <w:tcPr>
            <w:tcW w:w="850" w:type="dxa"/>
          </w:tcPr>
          <w:p w14:paraId="1DA7C2A2"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D7G7</w:t>
            </w:r>
          </w:p>
        </w:tc>
        <w:tc>
          <w:tcPr>
            <w:tcW w:w="5529" w:type="dxa"/>
          </w:tcPr>
          <w:p w14:paraId="47E2754D"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CPI (overall index)</w:t>
            </w:r>
          </w:p>
        </w:tc>
        <w:tc>
          <w:tcPr>
            <w:tcW w:w="1620" w:type="dxa"/>
          </w:tcPr>
          <w:p w14:paraId="55BAEA81"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9.0</w:t>
            </w:r>
          </w:p>
        </w:tc>
      </w:tr>
      <w:tr w:rsidR="00CE1A25" w:rsidRPr="00CE1A25" w14:paraId="1281BC81" w14:textId="77777777" w:rsidTr="00EB7477">
        <w:trPr>
          <w:trHeight w:val="315"/>
        </w:trPr>
        <w:tc>
          <w:tcPr>
            <w:tcW w:w="5949" w:type="dxa"/>
            <w:noWrap/>
            <w:hideMark/>
          </w:tcPr>
          <w:p w14:paraId="249733E1"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Transport &amp; Activities</w:t>
            </w:r>
          </w:p>
        </w:tc>
        <w:tc>
          <w:tcPr>
            <w:tcW w:w="850" w:type="dxa"/>
          </w:tcPr>
          <w:p w14:paraId="57AE0326"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D7GG</w:t>
            </w:r>
          </w:p>
        </w:tc>
        <w:tc>
          <w:tcPr>
            <w:tcW w:w="5529" w:type="dxa"/>
          </w:tcPr>
          <w:p w14:paraId="49BB9C6D"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09    Recreation and Culture</w:t>
            </w:r>
          </w:p>
        </w:tc>
        <w:tc>
          <w:tcPr>
            <w:tcW w:w="1620" w:type="dxa"/>
          </w:tcPr>
          <w:p w14:paraId="3D6CD059"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5.9</w:t>
            </w:r>
          </w:p>
        </w:tc>
      </w:tr>
      <w:tr w:rsidR="00CE1A25" w:rsidRPr="00CE1A25" w14:paraId="36F05F53" w14:textId="77777777" w:rsidTr="00EB7477">
        <w:trPr>
          <w:trHeight w:val="315"/>
        </w:trPr>
        <w:tc>
          <w:tcPr>
            <w:tcW w:w="5949" w:type="dxa"/>
            <w:noWrap/>
            <w:hideMark/>
          </w:tcPr>
          <w:p w14:paraId="16294FFF" w14:textId="77777777" w:rsidR="00A2589C" w:rsidRPr="00CE1A25" w:rsidRDefault="006C3538" w:rsidP="00A2589C">
            <w:pPr>
              <w:rPr>
                <w:rFonts w:eastAsia="Times New Roman" w:cs="Courier New"/>
                <w:color w:val="auto"/>
                <w:lang w:eastAsia="en-GB"/>
              </w:rPr>
            </w:pPr>
            <w:r w:rsidRPr="00CE1A25">
              <w:rPr>
                <w:rFonts w:eastAsia="Times New Roman" w:cs="Arial"/>
                <w:i/>
                <w:iCs/>
                <w:color w:val="auto"/>
                <w:lang w:eastAsia="en-GB"/>
              </w:rPr>
              <w:t>Other care home supplies and services costs</w:t>
            </w:r>
          </w:p>
        </w:tc>
        <w:tc>
          <w:tcPr>
            <w:tcW w:w="850" w:type="dxa"/>
          </w:tcPr>
          <w:p w14:paraId="49EEA6C7" w14:textId="77777777" w:rsidR="00A2589C" w:rsidRPr="00CE1A25" w:rsidRDefault="006C3538" w:rsidP="00A2589C">
            <w:pPr>
              <w:rPr>
                <w:rFonts w:eastAsia="Times New Roman" w:cs="Arial"/>
                <w:i/>
                <w:iCs/>
                <w:color w:val="auto"/>
                <w:lang w:eastAsia="en-GB"/>
              </w:rPr>
            </w:pPr>
            <w:r w:rsidRPr="00CE1A25">
              <w:rPr>
                <w:rFonts w:eastAsia="Times New Roman" w:cs="Arial"/>
                <w:color w:val="auto"/>
                <w:lang w:eastAsia="en-GB"/>
              </w:rPr>
              <w:t>D7G7</w:t>
            </w:r>
          </w:p>
        </w:tc>
        <w:tc>
          <w:tcPr>
            <w:tcW w:w="5529" w:type="dxa"/>
          </w:tcPr>
          <w:p w14:paraId="63810286" w14:textId="77777777" w:rsidR="00A2589C" w:rsidRPr="00CE1A25" w:rsidRDefault="006C3538" w:rsidP="00A2589C">
            <w:pPr>
              <w:rPr>
                <w:rFonts w:eastAsia="Times New Roman" w:cs="Arial"/>
                <w:i/>
                <w:iCs/>
                <w:color w:val="auto"/>
                <w:lang w:eastAsia="en-GB"/>
              </w:rPr>
            </w:pPr>
            <w:r w:rsidRPr="00CE1A25">
              <w:rPr>
                <w:rFonts w:eastAsia="Times New Roman" w:cs="Arial"/>
                <w:color w:val="auto"/>
                <w:lang w:eastAsia="en-GB"/>
              </w:rPr>
              <w:t>CPI (overall index)</w:t>
            </w:r>
          </w:p>
        </w:tc>
        <w:tc>
          <w:tcPr>
            <w:tcW w:w="1620" w:type="dxa"/>
          </w:tcPr>
          <w:p w14:paraId="674AAD89" w14:textId="77777777" w:rsidR="00A2589C" w:rsidRPr="00CE1A25" w:rsidRDefault="006C3538" w:rsidP="00A2589C">
            <w:pPr>
              <w:rPr>
                <w:rFonts w:eastAsia="Times New Roman" w:cs="Arial"/>
                <w:i/>
                <w:iCs/>
                <w:color w:val="auto"/>
                <w:lang w:eastAsia="en-GB"/>
              </w:rPr>
            </w:pPr>
            <w:r w:rsidRPr="00CE1A25">
              <w:rPr>
                <w:rFonts w:eastAsia="Times New Roman" w:cs="Arial"/>
                <w:color w:val="auto"/>
                <w:lang w:eastAsia="en-GB"/>
              </w:rPr>
              <w:t>9.0</w:t>
            </w:r>
          </w:p>
        </w:tc>
      </w:tr>
      <w:tr w:rsidR="00CE1A25" w:rsidRPr="00CE1A25" w14:paraId="2A90D796" w14:textId="77777777" w:rsidTr="00EB7477">
        <w:trPr>
          <w:trHeight w:val="315"/>
        </w:trPr>
        <w:tc>
          <w:tcPr>
            <w:tcW w:w="5949" w:type="dxa"/>
            <w:noWrap/>
            <w:hideMark/>
          </w:tcPr>
          <w:p w14:paraId="3E85C4F9"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Central / Regional Management</w:t>
            </w:r>
          </w:p>
        </w:tc>
        <w:tc>
          <w:tcPr>
            <w:tcW w:w="850" w:type="dxa"/>
          </w:tcPr>
          <w:p w14:paraId="2CE26BC9"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D7NN</w:t>
            </w:r>
          </w:p>
        </w:tc>
        <w:tc>
          <w:tcPr>
            <w:tcW w:w="5529" w:type="dxa"/>
          </w:tcPr>
          <w:p w14:paraId="054DC402"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All services</w:t>
            </w:r>
          </w:p>
        </w:tc>
        <w:tc>
          <w:tcPr>
            <w:tcW w:w="1620" w:type="dxa"/>
          </w:tcPr>
          <w:p w14:paraId="136526DE"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4.7</w:t>
            </w:r>
          </w:p>
        </w:tc>
      </w:tr>
      <w:tr w:rsidR="00CE1A25" w:rsidRPr="00CE1A25" w14:paraId="45B8A5B3" w14:textId="77777777" w:rsidTr="00EB7477">
        <w:trPr>
          <w:trHeight w:val="315"/>
        </w:trPr>
        <w:tc>
          <w:tcPr>
            <w:tcW w:w="5949" w:type="dxa"/>
            <w:noWrap/>
            <w:hideMark/>
          </w:tcPr>
          <w:p w14:paraId="11AB4D2B"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Support Services (finance / HR / legal / marketing etc.)</w:t>
            </w:r>
          </w:p>
        </w:tc>
        <w:tc>
          <w:tcPr>
            <w:tcW w:w="850" w:type="dxa"/>
          </w:tcPr>
          <w:p w14:paraId="73BC1C85"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D7NN</w:t>
            </w:r>
          </w:p>
        </w:tc>
        <w:tc>
          <w:tcPr>
            <w:tcW w:w="5529" w:type="dxa"/>
          </w:tcPr>
          <w:p w14:paraId="129F1979"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All services</w:t>
            </w:r>
          </w:p>
        </w:tc>
        <w:tc>
          <w:tcPr>
            <w:tcW w:w="1620" w:type="dxa"/>
          </w:tcPr>
          <w:p w14:paraId="7CA0F3DF"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4.7</w:t>
            </w:r>
          </w:p>
        </w:tc>
      </w:tr>
      <w:tr w:rsidR="00CE1A25" w:rsidRPr="00CE1A25" w14:paraId="69E5B08B" w14:textId="77777777" w:rsidTr="00EB7477">
        <w:trPr>
          <w:trHeight w:val="315"/>
        </w:trPr>
        <w:tc>
          <w:tcPr>
            <w:tcW w:w="5949" w:type="dxa"/>
            <w:noWrap/>
            <w:hideMark/>
          </w:tcPr>
          <w:p w14:paraId="57B9AF40" w14:textId="77777777" w:rsidR="00A2589C" w:rsidRPr="00CE1A25" w:rsidRDefault="006C3538" w:rsidP="00A2589C">
            <w:pPr>
              <w:rPr>
                <w:rFonts w:eastAsia="Times New Roman" w:cs="Courier New"/>
                <w:color w:val="auto"/>
                <w:lang w:eastAsia="en-GB"/>
              </w:rPr>
            </w:pPr>
            <w:r w:rsidRPr="00CE1A25">
              <w:rPr>
                <w:rFonts w:eastAsia="Times New Roman" w:cs="Arial"/>
                <w:color w:val="auto"/>
                <w:lang w:eastAsia="en-GB"/>
              </w:rPr>
              <w:t>Recruitment, Training &amp; Vetting (incl. DBS checks)</w:t>
            </w:r>
          </w:p>
        </w:tc>
        <w:tc>
          <w:tcPr>
            <w:tcW w:w="850" w:type="dxa"/>
          </w:tcPr>
          <w:p w14:paraId="09850152"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D7NN</w:t>
            </w:r>
          </w:p>
        </w:tc>
        <w:tc>
          <w:tcPr>
            <w:tcW w:w="5529" w:type="dxa"/>
          </w:tcPr>
          <w:p w14:paraId="4E905CD0"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All services</w:t>
            </w:r>
          </w:p>
        </w:tc>
        <w:tc>
          <w:tcPr>
            <w:tcW w:w="1620" w:type="dxa"/>
          </w:tcPr>
          <w:p w14:paraId="13456FFB" w14:textId="77777777" w:rsidR="00A2589C" w:rsidRPr="00CE1A25" w:rsidRDefault="006C3538" w:rsidP="00A2589C">
            <w:pPr>
              <w:rPr>
                <w:rFonts w:eastAsia="Times New Roman" w:cs="Arial"/>
                <w:color w:val="auto"/>
                <w:lang w:eastAsia="en-GB"/>
              </w:rPr>
            </w:pPr>
            <w:r w:rsidRPr="00CE1A25">
              <w:rPr>
                <w:rFonts w:eastAsia="Times New Roman" w:cs="Arial"/>
                <w:color w:val="auto"/>
                <w:lang w:eastAsia="en-GB"/>
              </w:rPr>
              <w:t>4.7</w:t>
            </w:r>
          </w:p>
        </w:tc>
      </w:tr>
      <w:tr w:rsidR="00CE1A25" w:rsidRPr="00CE1A25" w14:paraId="55B7885E" w14:textId="77777777" w:rsidTr="00EB7477">
        <w:trPr>
          <w:trHeight w:val="315"/>
        </w:trPr>
        <w:tc>
          <w:tcPr>
            <w:tcW w:w="5949" w:type="dxa"/>
            <w:noWrap/>
            <w:hideMark/>
          </w:tcPr>
          <w:p w14:paraId="2BB2C5D3" w14:textId="77777777" w:rsidR="00A2589C" w:rsidRPr="00CE1A25" w:rsidRDefault="006C3538" w:rsidP="00A2589C">
            <w:pPr>
              <w:rPr>
                <w:rFonts w:eastAsia="Times New Roman" w:cs="Courier New"/>
                <w:color w:val="auto"/>
                <w:lang w:eastAsia="en-GB"/>
              </w:rPr>
            </w:pPr>
            <w:r w:rsidRPr="00CE1A25">
              <w:rPr>
                <w:rFonts w:eastAsia="Times New Roman" w:cs="Arial"/>
                <w:i/>
                <w:iCs/>
                <w:color w:val="auto"/>
                <w:lang w:eastAsia="en-GB"/>
              </w:rPr>
              <w:t>Other head office costs (please specify)</w:t>
            </w:r>
          </w:p>
        </w:tc>
        <w:tc>
          <w:tcPr>
            <w:tcW w:w="850" w:type="dxa"/>
          </w:tcPr>
          <w:p w14:paraId="045BF6C3" w14:textId="77777777" w:rsidR="00A2589C" w:rsidRPr="00CE1A25" w:rsidRDefault="006C3538" w:rsidP="00A2589C">
            <w:pPr>
              <w:rPr>
                <w:rFonts w:eastAsia="Times New Roman" w:cs="Arial"/>
                <w:i/>
                <w:iCs/>
                <w:color w:val="auto"/>
                <w:lang w:eastAsia="en-GB"/>
              </w:rPr>
            </w:pPr>
            <w:r w:rsidRPr="00CE1A25">
              <w:rPr>
                <w:rFonts w:eastAsia="Times New Roman" w:cs="Arial"/>
                <w:i/>
                <w:iCs/>
                <w:color w:val="auto"/>
                <w:lang w:eastAsia="en-GB"/>
              </w:rPr>
              <w:t>D7OB</w:t>
            </w:r>
          </w:p>
        </w:tc>
        <w:tc>
          <w:tcPr>
            <w:tcW w:w="5529" w:type="dxa"/>
          </w:tcPr>
          <w:p w14:paraId="571658C7" w14:textId="77777777" w:rsidR="00A2589C" w:rsidRPr="00CE1A25" w:rsidRDefault="006C3538" w:rsidP="00A2589C">
            <w:pPr>
              <w:rPr>
                <w:rFonts w:eastAsia="Times New Roman" w:cs="Arial"/>
                <w:i/>
                <w:iCs/>
                <w:color w:val="auto"/>
                <w:lang w:eastAsia="en-GB"/>
              </w:rPr>
            </w:pPr>
            <w:r w:rsidRPr="00CE1A25">
              <w:rPr>
                <w:rFonts w:eastAsia="Times New Roman" w:cs="Arial"/>
                <w:i/>
                <w:iCs/>
                <w:color w:val="auto"/>
                <w:lang w:eastAsia="en-GB"/>
              </w:rPr>
              <w:t>12.7 Other services (NEC)</w:t>
            </w:r>
          </w:p>
        </w:tc>
        <w:tc>
          <w:tcPr>
            <w:tcW w:w="1620" w:type="dxa"/>
          </w:tcPr>
          <w:p w14:paraId="0F589E24" w14:textId="77777777" w:rsidR="00A2589C" w:rsidRPr="00CE1A25" w:rsidRDefault="006C3538" w:rsidP="00A2589C">
            <w:pPr>
              <w:rPr>
                <w:rFonts w:eastAsia="Times New Roman" w:cs="Arial"/>
                <w:i/>
                <w:iCs/>
                <w:color w:val="auto"/>
                <w:lang w:eastAsia="en-GB"/>
              </w:rPr>
            </w:pPr>
            <w:r w:rsidRPr="00CE1A25">
              <w:rPr>
                <w:rFonts w:eastAsia="Times New Roman" w:cs="Arial"/>
                <w:i/>
                <w:iCs/>
                <w:color w:val="auto"/>
                <w:lang w:eastAsia="en-GB"/>
              </w:rPr>
              <w:t>-3.1</w:t>
            </w:r>
          </w:p>
        </w:tc>
      </w:tr>
    </w:tbl>
    <w:p w14:paraId="65562DA3" w14:textId="144A3E99" w:rsidR="00617411" w:rsidRPr="00CE1A25" w:rsidRDefault="00ED2A30" w:rsidP="001A3DFC">
      <w:pPr>
        <w:rPr>
          <w:color w:val="auto"/>
        </w:rPr>
      </w:pPr>
      <w:r w:rsidRPr="00CE1A25">
        <w:rPr>
          <w:rFonts w:asciiTheme="minorHAnsi" w:eastAsia="Times New Roman" w:hAnsiTheme="minorHAnsi" w:cstheme="minorHAnsi"/>
          <w:color w:val="auto"/>
          <w:sz w:val="18"/>
          <w:szCs w:val="18"/>
          <w:lang w:eastAsia="en-GB"/>
        </w:rPr>
        <w:t>Source: Office for National Statistics for different CPI series</w:t>
      </w:r>
    </w:p>
    <w:p w14:paraId="0C3B3710" w14:textId="783BCF5C" w:rsidR="00617411" w:rsidRPr="00CE1A25" w:rsidRDefault="00617411" w:rsidP="001A3DFC">
      <w:pPr>
        <w:rPr>
          <w:color w:val="auto"/>
        </w:rPr>
      </w:pPr>
    </w:p>
    <w:p w14:paraId="298EE9E5" w14:textId="77777777" w:rsidR="00617411" w:rsidRPr="00CE1A25" w:rsidRDefault="00617411" w:rsidP="001A3DFC">
      <w:pPr>
        <w:rPr>
          <w:color w:val="auto"/>
          <w:lang w:eastAsia="en-GB"/>
        </w:rPr>
      </w:pPr>
    </w:p>
    <w:p w14:paraId="6508B8C2" w14:textId="77777777" w:rsidR="001A3DFC" w:rsidRPr="00CE1A25" w:rsidRDefault="001A3DFC" w:rsidP="00182F79">
      <w:pPr>
        <w:rPr>
          <w:color w:val="auto"/>
        </w:rPr>
      </w:pPr>
    </w:p>
    <w:p w14:paraId="5850C3F6" w14:textId="20E77C2D" w:rsidR="008F2A96" w:rsidRPr="008F2A96" w:rsidRDefault="008F2A96" w:rsidP="00182F79">
      <w:pPr>
        <w:pStyle w:val="Heading2"/>
        <w:spacing w:line="280" w:lineRule="exact"/>
        <w:ind w:right="0"/>
      </w:pPr>
      <w:bookmarkStart w:id="31" w:name="_Toc116555558"/>
      <w:r w:rsidRPr="008F2A96">
        <w:lastRenderedPageBreak/>
        <w:t>2.</w:t>
      </w:r>
      <w:r w:rsidR="00DE302D">
        <w:t>9</w:t>
      </w:r>
      <w:r w:rsidRPr="008F2A96">
        <w:t xml:space="preserve"> </w:t>
      </w:r>
      <w:r>
        <w:t>Return on capital and return o</w:t>
      </w:r>
      <w:r w:rsidR="00D1255F">
        <w:t>n</w:t>
      </w:r>
      <w:r>
        <w:t xml:space="preserve"> operations</w:t>
      </w:r>
      <w:bookmarkEnd w:id="31"/>
    </w:p>
    <w:p w14:paraId="15B77DF7" w14:textId="77777777" w:rsidR="008F2A96" w:rsidRDefault="008F2A96" w:rsidP="00182F79">
      <w:pPr>
        <w:spacing w:after="0" w:line="280" w:lineRule="exact"/>
        <w:jc w:val="both"/>
      </w:pPr>
    </w:p>
    <w:p w14:paraId="4432CFBE" w14:textId="6F39520F" w:rsidR="009C749E" w:rsidRPr="00CE1A25" w:rsidRDefault="008F2A96" w:rsidP="001A3DFC">
      <w:pPr>
        <w:spacing w:after="0" w:line="280" w:lineRule="exact"/>
        <w:jc w:val="both"/>
        <w:rPr>
          <w:color w:val="auto"/>
        </w:rPr>
      </w:pPr>
      <w:r w:rsidRPr="00CE1A25">
        <w:rPr>
          <w:color w:val="auto"/>
        </w:rPr>
        <w:t xml:space="preserve">DHSC guidance indicates that </w:t>
      </w:r>
      <w:r w:rsidR="002F6462" w:rsidRPr="00CE1A25">
        <w:rPr>
          <w:color w:val="auto"/>
        </w:rPr>
        <w:t>c</w:t>
      </w:r>
      <w:r w:rsidRPr="00CE1A25">
        <w:rPr>
          <w:color w:val="auto"/>
        </w:rPr>
        <w:t>ouncil</w:t>
      </w:r>
      <w:r w:rsidR="002F6462" w:rsidRPr="00CE1A25">
        <w:rPr>
          <w:color w:val="auto"/>
        </w:rPr>
        <w:t>s</w:t>
      </w:r>
      <w:r w:rsidRPr="00CE1A25">
        <w:rPr>
          <w:color w:val="auto"/>
        </w:rPr>
        <w:t xml:space="preserve"> should </w:t>
      </w:r>
      <w:r w:rsidR="009C749E" w:rsidRPr="00CE1A25">
        <w:rPr>
          <w:color w:val="auto"/>
        </w:rPr>
        <w:t>determine, on the basis of available evidence, the appropriate return on capital and return on operations rates that should be added to operating costs (calculated at medians from validated toolkit responses) in order to arrive at the median total cost for each of the four modalities of care</w:t>
      </w:r>
      <w:r w:rsidR="00401B78" w:rsidRPr="00CE1A25">
        <w:rPr>
          <w:color w:val="auto"/>
        </w:rPr>
        <w:t xml:space="preserve"> in the FCoC returns</w:t>
      </w:r>
      <w:r w:rsidR="0003196E" w:rsidRPr="00CE1A25">
        <w:rPr>
          <w:color w:val="auto"/>
        </w:rPr>
        <w:t>, and that these rates</w:t>
      </w:r>
      <w:r w:rsidR="00401B78" w:rsidRPr="00CE1A25">
        <w:rPr>
          <w:color w:val="auto"/>
        </w:rPr>
        <w:t xml:space="preserve"> should be evidence based.</w:t>
      </w:r>
      <w:r w:rsidR="00816449" w:rsidRPr="00CE1A25">
        <w:rPr>
          <w:color w:val="auto"/>
        </w:rPr>
        <w:t xml:space="preserve"> </w:t>
      </w:r>
      <w:r w:rsidR="009C749E" w:rsidRPr="00CE1A25">
        <w:rPr>
          <w:color w:val="auto"/>
        </w:rPr>
        <w:t>The rates recommended by LaingBuisson are</w:t>
      </w:r>
      <w:r w:rsidR="00211113" w:rsidRPr="00CE1A25">
        <w:rPr>
          <w:color w:val="auto"/>
        </w:rPr>
        <w:t>:</w:t>
      </w:r>
    </w:p>
    <w:p w14:paraId="66804915" w14:textId="0C4B3E65" w:rsidR="009C749E" w:rsidRPr="00CE1A25" w:rsidRDefault="009C749E" w:rsidP="001A3DFC">
      <w:pPr>
        <w:spacing w:after="0" w:line="280" w:lineRule="exact"/>
        <w:jc w:val="both"/>
        <w:rPr>
          <w:color w:val="auto"/>
        </w:rPr>
      </w:pPr>
    </w:p>
    <w:p w14:paraId="4F13C95D" w14:textId="77777777" w:rsidR="001A3DFC" w:rsidRPr="00CE1A25" w:rsidRDefault="009C749E" w:rsidP="001A3DFC">
      <w:pPr>
        <w:pStyle w:val="ListParagraph"/>
        <w:numPr>
          <w:ilvl w:val="0"/>
          <w:numId w:val="40"/>
        </w:numPr>
        <w:spacing w:line="280" w:lineRule="exact"/>
        <w:jc w:val="both"/>
        <w:rPr>
          <w:color w:val="auto"/>
        </w:rPr>
      </w:pPr>
      <w:r w:rsidRPr="00CE1A25">
        <w:rPr>
          <w:color w:val="auto"/>
        </w:rPr>
        <w:t>Return on capital</w:t>
      </w:r>
      <w:r w:rsidRPr="00CE1A25">
        <w:rPr>
          <w:color w:val="auto"/>
        </w:rPr>
        <w:tab/>
        <w:t>6% per annum</w:t>
      </w:r>
    </w:p>
    <w:p w14:paraId="4430A74C" w14:textId="0328CB81" w:rsidR="009C749E" w:rsidRPr="00CE1A25" w:rsidRDefault="009C749E" w:rsidP="00182F79">
      <w:pPr>
        <w:pStyle w:val="ListParagraph"/>
        <w:numPr>
          <w:ilvl w:val="0"/>
          <w:numId w:val="40"/>
        </w:numPr>
        <w:spacing w:line="280" w:lineRule="exact"/>
        <w:jc w:val="both"/>
        <w:rPr>
          <w:color w:val="auto"/>
        </w:rPr>
      </w:pPr>
      <w:r w:rsidRPr="00CE1A25">
        <w:rPr>
          <w:color w:val="auto"/>
        </w:rPr>
        <w:t>Return on operations</w:t>
      </w:r>
      <w:r w:rsidRPr="00CE1A25">
        <w:rPr>
          <w:color w:val="auto"/>
        </w:rPr>
        <w:tab/>
        <w:t>10% mark-up on operating costs</w:t>
      </w:r>
    </w:p>
    <w:p w14:paraId="6F9E2BE2" w14:textId="6F0179F5" w:rsidR="009C749E" w:rsidRPr="00CE1A25" w:rsidRDefault="009C749E" w:rsidP="00182F79">
      <w:pPr>
        <w:spacing w:after="0" w:line="280" w:lineRule="exact"/>
        <w:jc w:val="both"/>
        <w:rPr>
          <w:color w:val="auto"/>
        </w:rPr>
      </w:pPr>
    </w:p>
    <w:p w14:paraId="26B08E9D" w14:textId="18BC4310" w:rsidR="009C749E" w:rsidRPr="00CE1A25" w:rsidRDefault="009C749E" w:rsidP="001A3DFC">
      <w:pPr>
        <w:spacing w:after="0" w:line="280" w:lineRule="exact"/>
        <w:jc w:val="both"/>
        <w:rPr>
          <w:color w:val="auto"/>
        </w:rPr>
      </w:pPr>
      <w:r w:rsidRPr="00CE1A25">
        <w:rPr>
          <w:color w:val="auto"/>
        </w:rPr>
        <w:t xml:space="preserve">The evidence base for </w:t>
      </w:r>
      <w:r w:rsidR="00211113" w:rsidRPr="00CE1A25">
        <w:rPr>
          <w:color w:val="auto"/>
        </w:rPr>
        <w:t>these rates is described in Appendix 1,</w:t>
      </w:r>
    </w:p>
    <w:p w14:paraId="09658173" w14:textId="32C43D9A" w:rsidR="00211113" w:rsidRPr="00CE1A25" w:rsidRDefault="00211113" w:rsidP="001A3DFC">
      <w:pPr>
        <w:spacing w:after="0" w:line="280" w:lineRule="exact"/>
        <w:jc w:val="both"/>
        <w:rPr>
          <w:color w:val="auto"/>
        </w:rPr>
      </w:pPr>
    </w:p>
    <w:p w14:paraId="19C8B172" w14:textId="77777777" w:rsidR="005A6032" w:rsidRPr="00CE1A25" w:rsidRDefault="005A6032" w:rsidP="005A6032">
      <w:pPr>
        <w:spacing w:after="0" w:line="280" w:lineRule="exact"/>
        <w:jc w:val="both"/>
        <w:rPr>
          <w:rFonts w:eastAsia="Times New Roman" w:cs="Times New Roman"/>
          <w:color w:val="auto"/>
          <w:lang w:eastAsia="en-GB"/>
        </w:rPr>
      </w:pPr>
      <w:r w:rsidRPr="00CE1A25">
        <w:rPr>
          <w:color w:val="auto"/>
        </w:rPr>
        <w:t xml:space="preserve">In order to determine the £ value of return on capital, it is necessary to apply the rate of return to a capital value per resident. This can be derived from the toolkit submissions as the median of </w:t>
      </w:r>
      <w:r w:rsidRPr="00CE1A25">
        <w:rPr>
          <w:rFonts w:eastAsia="Times New Roman" w:cs="Times New Roman"/>
          <w:color w:val="auto"/>
          <w:lang w:eastAsia="en-GB"/>
        </w:rPr>
        <w:t>freehold valuation per bed (see Supporting Information at the foot of Table 4), divided by occupancy per registered bed (see also Supporting Information at the foot of Table 4), to express the £ value on a ‘per resident’ basis. The calculation for Sheffield based on validated toolkit submissions at the date of this report is: 6% TIMES £51,120 DIVIDED BY 85.8% TIMES 7/365 = £68.55 per resident per week, see Table 4.</w:t>
      </w:r>
    </w:p>
    <w:p w14:paraId="71E48553" w14:textId="77777777" w:rsidR="0024220F" w:rsidRPr="0042308D" w:rsidRDefault="0024220F" w:rsidP="009C749E">
      <w:pPr>
        <w:spacing w:after="0" w:line="280" w:lineRule="exact"/>
        <w:jc w:val="both"/>
        <w:rPr>
          <w:rFonts w:eastAsia="Times New Roman" w:cs="Times New Roman"/>
          <w:color w:val="auto"/>
          <w:lang w:eastAsia="en-GB"/>
        </w:rPr>
      </w:pPr>
    </w:p>
    <w:p w14:paraId="2D7BF8F7" w14:textId="2C9754F3" w:rsidR="00211113" w:rsidRPr="0042308D" w:rsidRDefault="00987AF8" w:rsidP="00182F79">
      <w:pPr>
        <w:spacing w:after="0" w:line="280" w:lineRule="exact"/>
        <w:jc w:val="both"/>
        <w:rPr>
          <w:color w:val="auto"/>
        </w:rPr>
      </w:pPr>
      <w:r w:rsidRPr="0042308D">
        <w:rPr>
          <w:rFonts w:eastAsia="Times New Roman" w:cs="Times New Roman"/>
          <w:color w:val="auto"/>
          <w:lang w:eastAsia="en-GB"/>
        </w:rPr>
        <w:t>Return on operations based on validated toolkit submissions at the date of this report is calculated at 10%</w:t>
      </w:r>
      <w:r w:rsidR="00A70B5F" w:rsidRPr="0042308D">
        <w:rPr>
          <w:rFonts w:eastAsia="Times New Roman" w:cs="Times New Roman"/>
          <w:color w:val="auto"/>
          <w:lang w:eastAsia="en-GB"/>
        </w:rPr>
        <w:t xml:space="preserve"> of the Operating cost subtotals in Table 4.</w:t>
      </w:r>
      <w:r w:rsidRPr="0042308D">
        <w:rPr>
          <w:rFonts w:eastAsia="Times New Roman" w:cs="Times New Roman"/>
          <w:color w:val="auto"/>
          <w:lang w:eastAsia="en-GB"/>
        </w:rPr>
        <w:t xml:space="preserve"> </w:t>
      </w:r>
    </w:p>
    <w:p w14:paraId="190B7D2C" w14:textId="77777777" w:rsidR="009C749E" w:rsidRPr="0042308D" w:rsidRDefault="009C749E" w:rsidP="00182F79">
      <w:pPr>
        <w:spacing w:after="0" w:line="280" w:lineRule="exact"/>
        <w:jc w:val="both"/>
        <w:rPr>
          <w:color w:val="auto"/>
        </w:rPr>
      </w:pPr>
    </w:p>
    <w:p w14:paraId="182E69F8" w14:textId="147437A5" w:rsidR="00C37BE0" w:rsidRPr="00AA3EA5" w:rsidRDefault="00AA0812" w:rsidP="00AA3EA5">
      <w:pPr>
        <w:pStyle w:val="Heading2"/>
      </w:pPr>
      <w:bookmarkStart w:id="32" w:name="_Toc116555559"/>
      <w:r w:rsidRPr="00AA3EA5">
        <w:t>2.</w:t>
      </w:r>
      <w:r w:rsidR="0012479E" w:rsidRPr="00AA3EA5">
        <w:t>1</w:t>
      </w:r>
      <w:r w:rsidR="00DE302D" w:rsidRPr="00AA3EA5">
        <w:t>0</w:t>
      </w:r>
      <w:r w:rsidRPr="00AA3EA5">
        <w:t xml:space="preserve"> </w:t>
      </w:r>
      <w:r w:rsidR="006C3538" w:rsidRPr="00AA3EA5">
        <w:t>Analysis</w:t>
      </w:r>
      <w:r w:rsidR="00A94FD5" w:rsidRPr="00AA3EA5">
        <w:t xml:space="preserve"> and results</w:t>
      </w:r>
      <w:bookmarkEnd w:id="32"/>
    </w:p>
    <w:p w14:paraId="47A41381" w14:textId="77777777" w:rsidR="00C37BE0" w:rsidRPr="0042308D" w:rsidRDefault="00C37BE0" w:rsidP="00182F79">
      <w:pPr>
        <w:spacing w:after="0" w:line="280" w:lineRule="exact"/>
        <w:jc w:val="both"/>
        <w:rPr>
          <w:color w:val="auto"/>
        </w:rPr>
      </w:pPr>
    </w:p>
    <w:p w14:paraId="4E259CEE" w14:textId="3B67B29B" w:rsidR="009223F2" w:rsidRPr="00CE1A25" w:rsidRDefault="0012479E" w:rsidP="002F7ACA">
      <w:pPr>
        <w:spacing w:after="0" w:line="280" w:lineRule="exact"/>
        <w:jc w:val="both"/>
        <w:rPr>
          <w:color w:val="auto"/>
          <w:lang w:eastAsia="en-GB"/>
        </w:rPr>
      </w:pPr>
      <w:r w:rsidRPr="00CE1A25">
        <w:rPr>
          <w:color w:val="auto"/>
          <w:lang w:eastAsia="en-GB"/>
        </w:rPr>
        <w:t>Summary results for</w:t>
      </w:r>
      <w:r w:rsidR="006C3538" w:rsidRPr="00CE1A25">
        <w:rPr>
          <w:color w:val="auto"/>
          <w:lang w:eastAsia="en-GB"/>
        </w:rPr>
        <w:t xml:space="preserve"> care homes located in</w:t>
      </w:r>
      <w:r w:rsidR="005A6032" w:rsidRPr="00CE1A25">
        <w:rPr>
          <w:color w:val="auto"/>
          <w:lang w:eastAsia="en-GB"/>
        </w:rPr>
        <w:t xml:space="preserve"> Sheffield</w:t>
      </w:r>
      <w:r w:rsidR="006C3538" w:rsidRPr="00CE1A25">
        <w:rPr>
          <w:color w:val="auto"/>
          <w:lang w:eastAsia="en-GB"/>
        </w:rPr>
        <w:t xml:space="preserve"> are presented in Table </w:t>
      </w:r>
      <w:r w:rsidR="001D16C2" w:rsidRPr="00CE1A25">
        <w:rPr>
          <w:color w:val="auto"/>
          <w:lang w:eastAsia="en-GB"/>
        </w:rPr>
        <w:t>4</w:t>
      </w:r>
      <w:r w:rsidR="006C3538" w:rsidRPr="00CE1A25">
        <w:rPr>
          <w:color w:val="auto"/>
          <w:lang w:eastAsia="en-GB"/>
        </w:rPr>
        <w:t>, in the form prescribed by the DHSC guidance</w:t>
      </w:r>
      <w:r w:rsidR="00FD68E5" w:rsidRPr="00CE1A25">
        <w:rPr>
          <w:color w:val="auto"/>
          <w:lang w:eastAsia="en-GB"/>
        </w:rPr>
        <w:t xml:space="preserve">. </w:t>
      </w:r>
      <w:r w:rsidR="0005754B" w:rsidRPr="00CE1A25">
        <w:rPr>
          <w:color w:val="auto"/>
          <w:lang w:eastAsia="en-GB"/>
        </w:rPr>
        <w:t xml:space="preserve"> </w:t>
      </w:r>
      <w:r w:rsidRPr="00CE1A25">
        <w:rPr>
          <w:color w:val="auto"/>
          <w:lang w:eastAsia="en-GB"/>
        </w:rPr>
        <w:t>All operating costs have been derived from validated toolkit submissions, after applying the outlier exclusion rules described in Section 2.</w:t>
      </w:r>
      <w:r w:rsidR="004E4C81" w:rsidRPr="00CE1A25">
        <w:rPr>
          <w:color w:val="auto"/>
          <w:lang w:eastAsia="en-GB"/>
        </w:rPr>
        <w:t>6</w:t>
      </w:r>
      <w:r w:rsidRPr="00CE1A25">
        <w:rPr>
          <w:color w:val="auto"/>
          <w:lang w:eastAsia="en-GB"/>
        </w:rPr>
        <w:t xml:space="preserve">. </w:t>
      </w:r>
      <w:bookmarkStart w:id="33" w:name="_Hlk114502600"/>
      <w:r w:rsidR="00C37BE0" w:rsidRPr="00CE1A25">
        <w:rPr>
          <w:color w:val="auto"/>
          <w:lang w:eastAsia="en-GB"/>
        </w:rPr>
        <w:t xml:space="preserve">Return on capital and return on operations are based on </w:t>
      </w:r>
      <w:r w:rsidR="002F6462" w:rsidRPr="00CE1A25">
        <w:rPr>
          <w:color w:val="auto"/>
          <w:lang w:eastAsia="en-GB"/>
        </w:rPr>
        <w:t>the benchmarks set out in Section 2.</w:t>
      </w:r>
      <w:r w:rsidR="005A7A0D" w:rsidRPr="00CE1A25">
        <w:rPr>
          <w:color w:val="auto"/>
          <w:lang w:eastAsia="en-GB"/>
        </w:rPr>
        <w:t>9</w:t>
      </w:r>
      <w:r w:rsidR="00F206E4" w:rsidRPr="00CE1A25">
        <w:rPr>
          <w:color w:val="auto"/>
          <w:lang w:eastAsia="en-GB"/>
        </w:rPr>
        <w:t xml:space="preserve">, being </w:t>
      </w:r>
      <w:r w:rsidR="00193BBB" w:rsidRPr="00CE1A25">
        <w:rPr>
          <w:color w:val="auto"/>
          <w:lang w:eastAsia="en-GB"/>
        </w:rPr>
        <w:t>6% per annum for return on capital and a 10% mark-up on operating costs for the return on operations.</w:t>
      </w:r>
    </w:p>
    <w:bookmarkEnd w:id="33"/>
    <w:p w14:paraId="31BEFA42" w14:textId="08230A02" w:rsidR="009223F2" w:rsidRPr="00CE1A25" w:rsidRDefault="009223F2" w:rsidP="002F7ACA">
      <w:pPr>
        <w:spacing w:after="0" w:line="280" w:lineRule="exact"/>
        <w:jc w:val="both"/>
        <w:rPr>
          <w:color w:val="auto"/>
          <w:lang w:eastAsia="en-GB"/>
        </w:rPr>
      </w:pPr>
    </w:p>
    <w:p w14:paraId="018DD3AB" w14:textId="38D08354" w:rsidR="002F7ACA" w:rsidRPr="00CE1A25" w:rsidRDefault="002F7ACA" w:rsidP="002F7ACA">
      <w:pPr>
        <w:spacing w:after="0" w:line="280" w:lineRule="exact"/>
        <w:jc w:val="both"/>
        <w:rPr>
          <w:color w:val="auto"/>
          <w:lang w:eastAsia="en-GB"/>
        </w:rPr>
      </w:pPr>
      <w:r w:rsidRPr="00CE1A25">
        <w:rPr>
          <w:color w:val="auto"/>
          <w:lang w:eastAsia="en-GB"/>
        </w:rPr>
        <w:t xml:space="preserve">Because of the way in which CareCubed calculates costs, </w:t>
      </w:r>
      <w:r w:rsidR="009223F2" w:rsidRPr="00CE1A25">
        <w:rPr>
          <w:color w:val="auto"/>
          <w:lang w:eastAsia="en-GB"/>
        </w:rPr>
        <w:t>the</w:t>
      </w:r>
      <w:r w:rsidRPr="00CE1A25">
        <w:rPr>
          <w:color w:val="auto"/>
          <w:lang w:eastAsia="en-GB"/>
        </w:rPr>
        <w:t xml:space="preserve"> differential</w:t>
      </w:r>
      <w:r w:rsidR="009223F2" w:rsidRPr="00CE1A25">
        <w:rPr>
          <w:color w:val="auto"/>
          <w:lang w:eastAsia="en-GB"/>
        </w:rPr>
        <w:t xml:space="preserve"> (if any)</w:t>
      </w:r>
      <w:r w:rsidRPr="00CE1A25">
        <w:rPr>
          <w:color w:val="auto"/>
          <w:lang w:eastAsia="en-GB"/>
        </w:rPr>
        <w:t xml:space="preserve"> between ‘enhanced’ </w:t>
      </w:r>
      <w:r w:rsidR="009223F2" w:rsidRPr="00CE1A25">
        <w:rPr>
          <w:color w:val="auto"/>
          <w:lang w:eastAsia="en-GB"/>
        </w:rPr>
        <w:t xml:space="preserve">(usually interpreted as dementia) </w:t>
      </w:r>
      <w:r w:rsidRPr="00CE1A25">
        <w:rPr>
          <w:color w:val="auto"/>
          <w:lang w:eastAsia="en-GB"/>
        </w:rPr>
        <w:t xml:space="preserve">and non-enhanced </w:t>
      </w:r>
      <w:r w:rsidR="009223F2" w:rsidRPr="00CE1A25">
        <w:rPr>
          <w:color w:val="auto"/>
          <w:lang w:eastAsia="en-GB"/>
        </w:rPr>
        <w:t xml:space="preserve">total </w:t>
      </w:r>
      <w:r w:rsidRPr="00CE1A25">
        <w:rPr>
          <w:color w:val="auto"/>
          <w:lang w:eastAsia="en-GB"/>
        </w:rPr>
        <w:t>costs is entirely due to the staffing costs</w:t>
      </w:r>
      <w:r w:rsidR="009223F2" w:rsidRPr="00CE1A25">
        <w:rPr>
          <w:color w:val="auto"/>
          <w:lang w:eastAsia="en-GB"/>
        </w:rPr>
        <w:t>. All other cost lines are identical for enhanced and non-enhanced care.</w:t>
      </w:r>
    </w:p>
    <w:p w14:paraId="324AF692" w14:textId="00E21CB4" w:rsidR="009223F2" w:rsidRPr="00CE1A25" w:rsidRDefault="009223F2" w:rsidP="002F7ACA">
      <w:pPr>
        <w:spacing w:after="0" w:line="280" w:lineRule="exact"/>
        <w:jc w:val="both"/>
        <w:rPr>
          <w:color w:val="auto"/>
          <w:lang w:eastAsia="en-GB"/>
        </w:rPr>
      </w:pPr>
    </w:p>
    <w:p w14:paraId="468D12C5" w14:textId="77777777" w:rsidR="00984265" w:rsidRPr="00CE1A25" w:rsidRDefault="000D1C8A" w:rsidP="002F7ACA">
      <w:pPr>
        <w:spacing w:after="0" w:line="280" w:lineRule="exact"/>
        <w:jc w:val="both"/>
        <w:rPr>
          <w:color w:val="auto"/>
          <w:lang w:eastAsia="en-GB"/>
        </w:rPr>
      </w:pPr>
      <w:r w:rsidRPr="00CE1A25">
        <w:rPr>
          <w:color w:val="auto"/>
          <w:lang w:eastAsia="en-GB"/>
        </w:rPr>
        <w:t xml:space="preserve">We have used LaingBuisson’s </w:t>
      </w:r>
      <w:r w:rsidRPr="00CE1A25">
        <w:rPr>
          <w:i/>
          <w:iCs/>
          <w:color w:val="auto"/>
          <w:lang w:eastAsia="en-GB"/>
        </w:rPr>
        <w:t>Care Cost Benchmarks</w:t>
      </w:r>
      <w:r w:rsidRPr="00CE1A25">
        <w:rPr>
          <w:color w:val="auto"/>
          <w:lang w:eastAsia="en-GB"/>
        </w:rPr>
        <w:t xml:space="preserve"> model as a broad check on the plausibility of the FCoC results</w:t>
      </w:r>
      <w:r w:rsidR="00984265" w:rsidRPr="00CE1A25">
        <w:rPr>
          <w:color w:val="auto"/>
          <w:lang w:eastAsia="en-GB"/>
        </w:rPr>
        <w:t xml:space="preserve"> in Table 4</w:t>
      </w:r>
      <w:r w:rsidRPr="00CE1A25">
        <w:rPr>
          <w:color w:val="auto"/>
          <w:lang w:eastAsia="en-GB"/>
        </w:rPr>
        <w:t>. We would expect (</w:t>
      </w:r>
      <w:r w:rsidR="00915776" w:rsidRPr="00CE1A25">
        <w:rPr>
          <w:color w:val="auto"/>
          <w:lang w:eastAsia="en-GB"/>
        </w:rPr>
        <w:t xml:space="preserve">from </w:t>
      </w:r>
      <w:r w:rsidR="00915776" w:rsidRPr="00CE1A25">
        <w:rPr>
          <w:i/>
          <w:iCs/>
          <w:color w:val="auto"/>
          <w:lang w:eastAsia="en-GB"/>
        </w:rPr>
        <w:t>Care Cost Benchmarks</w:t>
      </w:r>
      <w:r w:rsidR="00915776" w:rsidRPr="00CE1A25">
        <w:rPr>
          <w:color w:val="auto"/>
          <w:lang w:eastAsia="en-GB"/>
        </w:rPr>
        <w:t xml:space="preserve">) nursing care costs to be about £250 per week higher than residential care costs </w:t>
      </w:r>
      <w:r w:rsidR="00182F8D" w:rsidRPr="00CE1A25">
        <w:rPr>
          <w:color w:val="auto"/>
          <w:lang w:eastAsia="en-GB"/>
        </w:rPr>
        <w:t xml:space="preserve">- </w:t>
      </w:r>
      <w:r w:rsidR="00915776" w:rsidRPr="00CE1A25">
        <w:rPr>
          <w:color w:val="auto"/>
          <w:lang w:eastAsia="en-GB"/>
        </w:rPr>
        <w:t xml:space="preserve">made up from registered nursing staff input at around the 2022/23 NHS FNC rate of £209, plus some additional non-nurse carer staff input. </w:t>
      </w:r>
      <w:r w:rsidR="00182F8D" w:rsidRPr="00CE1A25">
        <w:rPr>
          <w:color w:val="auto"/>
          <w:lang w:eastAsia="en-GB"/>
        </w:rPr>
        <w:t>We would also expect (f</w:t>
      </w:r>
      <w:r w:rsidR="00915776" w:rsidRPr="00CE1A25">
        <w:rPr>
          <w:color w:val="auto"/>
          <w:lang w:eastAsia="en-GB"/>
        </w:rPr>
        <w:t xml:space="preserve">rom </w:t>
      </w:r>
      <w:r w:rsidR="00915776" w:rsidRPr="00CE1A25">
        <w:rPr>
          <w:i/>
          <w:iCs/>
          <w:color w:val="auto"/>
          <w:lang w:eastAsia="en-GB"/>
        </w:rPr>
        <w:t xml:space="preserve">Care Cost Benchmarks </w:t>
      </w:r>
      <w:r w:rsidR="00915776" w:rsidRPr="00CE1A25">
        <w:rPr>
          <w:color w:val="auto"/>
          <w:lang w:eastAsia="en-GB"/>
        </w:rPr>
        <w:lastRenderedPageBreak/>
        <w:t>data set going back over a decade</w:t>
      </w:r>
      <w:r w:rsidR="00984265" w:rsidRPr="00CE1A25">
        <w:rPr>
          <w:color w:val="auto"/>
          <w:lang w:eastAsia="en-GB"/>
        </w:rPr>
        <w:t>)</w:t>
      </w:r>
      <w:r w:rsidR="00915776" w:rsidRPr="00CE1A25">
        <w:rPr>
          <w:color w:val="auto"/>
          <w:lang w:eastAsia="en-GB"/>
        </w:rPr>
        <w:t xml:space="preserve"> </w:t>
      </w:r>
      <w:r w:rsidR="00487A01" w:rsidRPr="00CE1A25">
        <w:rPr>
          <w:color w:val="auto"/>
          <w:lang w:eastAsia="en-GB"/>
        </w:rPr>
        <w:t>a differential between</w:t>
      </w:r>
      <w:r w:rsidR="00915776" w:rsidRPr="00CE1A25">
        <w:rPr>
          <w:color w:val="auto"/>
          <w:lang w:eastAsia="en-GB"/>
        </w:rPr>
        <w:t xml:space="preserve"> ‘enhanced’ (i.e</w:t>
      </w:r>
      <w:r w:rsidR="00487A01" w:rsidRPr="00CE1A25">
        <w:rPr>
          <w:color w:val="auto"/>
          <w:lang w:eastAsia="en-GB"/>
        </w:rPr>
        <w:t>. dementia</w:t>
      </w:r>
      <w:r w:rsidR="00915776" w:rsidRPr="00CE1A25">
        <w:rPr>
          <w:color w:val="auto"/>
          <w:lang w:eastAsia="en-GB"/>
        </w:rPr>
        <w:t xml:space="preserve">) </w:t>
      </w:r>
      <w:r w:rsidR="00487A01" w:rsidRPr="00CE1A25">
        <w:rPr>
          <w:color w:val="auto"/>
          <w:lang w:eastAsia="en-GB"/>
        </w:rPr>
        <w:t xml:space="preserve">and non-enhanced residential care, the former being more costly. But we would </w:t>
      </w:r>
      <w:r w:rsidR="00487A01" w:rsidRPr="00CE1A25">
        <w:rPr>
          <w:i/>
          <w:iCs/>
          <w:color w:val="auto"/>
          <w:lang w:eastAsia="en-GB"/>
        </w:rPr>
        <w:t>not</w:t>
      </w:r>
      <w:r w:rsidR="00487A01" w:rsidRPr="00CE1A25">
        <w:rPr>
          <w:color w:val="auto"/>
          <w:lang w:eastAsia="en-GB"/>
        </w:rPr>
        <w:t xml:space="preserve"> expect an</w:t>
      </w:r>
      <w:r w:rsidR="00984265" w:rsidRPr="00CE1A25">
        <w:rPr>
          <w:color w:val="auto"/>
          <w:lang w:eastAsia="en-GB"/>
        </w:rPr>
        <w:t>y</w:t>
      </w:r>
      <w:r w:rsidR="00487A01" w:rsidRPr="00CE1A25">
        <w:rPr>
          <w:color w:val="auto"/>
          <w:lang w:eastAsia="en-GB"/>
        </w:rPr>
        <w:t xml:space="preserve"> differential between enhanced and non-enhanced nursing care. </w:t>
      </w:r>
    </w:p>
    <w:p w14:paraId="3C2F51E3" w14:textId="77777777" w:rsidR="00984265" w:rsidRPr="00CE1A25" w:rsidRDefault="00984265" w:rsidP="002F7ACA">
      <w:pPr>
        <w:spacing w:after="0" w:line="280" w:lineRule="exact"/>
        <w:jc w:val="both"/>
        <w:rPr>
          <w:color w:val="auto"/>
          <w:lang w:eastAsia="en-GB"/>
        </w:rPr>
      </w:pPr>
    </w:p>
    <w:p w14:paraId="029F22AC" w14:textId="239EF539" w:rsidR="00487A01" w:rsidRPr="00CE1A25" w:rsidRDefault="003F0D5C" w:rsidP="002F7ACA">
      <w:pPr>
        <w:spacing w:after="0" w:line="280" w:lineRule="exact"/>
        <w:jc w:val="both"/>
        <w:rPr>
          <w:color w:val="auto"/>
          <w:lang w:eastAsia="en-GB"/>
        </w:rPr>
      </w:pPr>
      <w:r w:rsidRPr="00CE1A25">
        <w:rPr>
          <w:color w:val="auto"/>
          <w:lang w:eastAsia="en-GB"/>
        </w:rPr>
        <w:t>Any divergence from the expected pattern in the</w:t>
      </w:r>
      <w:r w:rsidR="00487A01" w:rsidRPr="00CE1A25">
        <w:rPr>
          <w:color w:val="auto"/>
          <w:lang w:eastAsia="en-GB"/>
        </w:rPr>
        <w:t xml:space="preserve"> Table 4 </w:t>
      </w:r>
      <w:r w:rsidRPr="00CE1A25">
        <w:rPr>
          <w:color w:val="auto"/>
          <w:lang w:eastAsia="en-GB"/>
        </w:rPr>
        <w:t>median results may be a result of normal variance within small numbers of validated toolkits, see Section 2.1</w:t>
      </w:r>
      <w:r w:rsidR="00AA3EA5" w:rsidRPr="00CE1A25">
        <w:rPr>
          <w:color w:val="auto"/>
          <w:lang w:eastAsia="en-GB"/>
        </w:rPr>
        <w:t>2</w:t>
      </w:r>
      <w:r w:rsidRPr="00CE1A25">
        <w:rPr>
          <w:color w:val="auto"/>
          <w:lang w:eastAsia="en-GB"/>
        </w:rPr>
        <w:t>.</w:t>
      </w:r>
    </w:p>
    <w:p w14:paraId="51AD4DBF" w14:textId="79390DDD" w:rsidR="00816449" w:rsidRPr="00CE1A25" w:rsidRDefault="00816449">
      <w:pPr>
        <w:spacing w:after="0" w:line="280" w:lineRule="exact"/>
        <w:jc w:val="both"/>
        <w:rPr>
          <w:color w:val="auto"/>
          <w:lang w:eastAsia="en-GB"/>
        </w:rPr>
      </w:pPr>
    </w:p>
    <w:p w14:paraId="1CD5DB3D" w14:textId="37071F01" w:rsidR="00FC56E2" w:rsidRPr="00CE1A25" w:rsidRDefault="00A61617">
      <w:pPr>
        <w:spacing w:after="0" w:line="280" w:lineRule="exact"/>
        <w:jc w:val="both"/>
        <w:rPr>
          <w:color w:val="auto"/>
          <w:lang w:eastAsia="en-GB"/>
        </w:rPr>
      </w:pPr>
      <w:r w:rsidRPr="00CE1A25">
        <w:rPr>
          <w:color w:val="auto"/>
          <w:lang w:eastAsia="en-GB"/>
        </w:rPr>
        <w:t>The</w:t>
      </w:r>
      <w:r w:rsidR="005D6708" w:rsidRPr="00CE1A25">
        <w:rPr>
          <w:color w:val="auto"/>
          <w:lang w:eastAsia="en-GB"/>
        </w:rPr>
        <w:t>se</w:t>
      </w:r>
      <w:r w:rsidRPr="00CE1A25">
        <w:rPr>
          <w:color w:val="auto"/>
          <w:lang w:eastAsia="en-GB"/>
        </w:rPr>
        <w:t xml:space="preserve"> results </w:t>
      </w:r>
      <w:r w:rsidR="003F0D5C" w:rsidRPr="00CE1A25">
        <w:rPr>
          <w:color w:val="auto"/>
          <w:lang w:eastAsia="en-GB"/>
        </w:rPr>
        <w:t>in Table 4</w:t>
      </w:r>
      <w:r w:rsidRPr="00CE1A25">
        <w:rPr>
          <w:color w:val="auto"/>
          <w:lang w:eastAsia="en-GB"/>
        </w:rPr>
        <w:t xml:space="preserve"> should be seen in the context </w:t>
      </w:r>
      <w:r w:rsidR="00DD42FE" w:rsidRPr="00CE1A25">
        <w:rPr>
          <w:color w:val="auto"/>
          <w:lang w:eastAsia="en-GB"/>
        </w:rPr>
        <w:t xml:space="preserve">of policy guidance from </w:t>
      </w:r>
      <w:r w:rsidR="00FC56E2" w:rsidRPr="00CE1A25">
        <w:rPr>
          <w:color w:val="auto"/>
          <w:lang w:eastAsia="en-GB"/>
        </w:rPr>
        <w:t>the Department of Health and Social Care</w:t>
      </w:r>
      <w:r w:rsidR="00DD42FE" w:rsidRPr="00CE1A25">
        <w:rPr>
          <w:color w:val="auto"/>
          <w:lang w:eastAsia="en-GB"/>
        </w:rPr>
        <w:t xml:space="preserve">. The latest DHSC guidance, </w:t>
      </w:r>
      <w:r w:rsidR="00FC56E2" w:rsidRPr="00CE1A25">
        <w:rPr>
          <w:color w:val="auto"/>
          <w:lang w:eastAsia="en-GB"/>
        </w:rPr>
        <w:t>dated 2</w:t>
      </w:r>
      <w:r w:rsidR="00075A43">
        <w:rPr>
          <w:color w:val="auto"/>
          <w:lang w:eastAsia="en-GB"/>
        </w:rPr>
        <w:t>9</w:t>
      </w:r>
      <w:r w:rsidR="00FC56E2" w:rsidRPr="00CE1A25">
        <w:rPr>
          <w:color w:val="auto"/>
          <w:lang w:eastAsia="en-GB"/>
        </w:rPr>
        <w:t xml:space="preserve"> </w:t>
      </w:r>
      <w:r w:rsidR="00075A43">
        <w:rPr>
          <w:color w:val="auto"/>
          <w:lang w:eastAsia="en-GB"/>
        </w:rPr>
        <w:t>September</w:t>
      </w:r>
      <w:r w:rsidR="00FC56E2" w:rsidRPr="00CE1A25">
        <w:rPr>
          <w:color w:val="auto"/>
          <w:lang w:eastAsia="en-GB"/>
        </w:rPr>
        <w:t xml:space="preserve"> 2022</w:t>
      </w:r>
      <w:r w:rsidRPr="00CE1A25">
        <w:rPr>
          <w:color w:val="auto"/>
          <w:lang w:eastAsia="en-GB"/>
        </w:rPr>
        <w:t>, recognises that ‘</w:t>
      </w:r>
      <w:r w:rsidRPr="00CE1A25">
        <w:rPr>
          <w:i/>
          <w:iCs/>
          <w:color w:val="auto"/>
          <w:lang w:eastAsia="en-GB"/>
        </w:rPr>
        <w:t>median figures for the broad service types within scope (standard residential care, residential care for enhanced needs, standard nursing care and nursing care for enhanced needs)’ … ‘may oversimplify what is a complex picture of care and support needs.’</w:t>
      </w:r>
    </w:p>
    <w:p w14:paraId="12C1850C" w14:textId="77777777" w:rsidR="00A61617" w:rsidRPr="00CE1A25" w:rsidRDefault="00A61617" w:rsidP="00182F79">
      <w:pPr>
        <w:spacing w:after="0" w:line="280" w:lineRule="exact"/>
        <w:jc w:val="both"/>
        <w:rPr>
          <w:color w:val="auto"/>
          <w:lang w:eastAsia="en-GB"/>
        </w:rPr>
      </w:pPr>
    </w:p>
    <w:p w14:paraId="2A2F0DB7" w14:textId="55D9C872" w:rsidR="00EF4D43" w:rsidRPr="00CE1A25" w:rsidRDefault="00EF4D43" w:rsidP="00EF4D43">
      <w:pPr>
        <w:pStyle w:val="TABLES"/>
        <w:rPr>
          <w:color w:val="auto"/>
        </w:rPr>
      </w:pPr>
      <w:r w:rsidRPr="00CE1A25">
        <w:rPr>
          <w:color w:val="auto"/>
        </w:rPr>
        <w:t>Table 4 Median costs of care homes (65+) located in</w:t>
      </w:r>
      <w:r w:rsidR="005A6032" w:rsidRPr="00CE1A25">
        <w:rPr>
          <w:color w:val="auto"/>
        </w:rPr>
        <w:t xml:space="preserve"> Sheffield</w:t>
      </w:r>
      <w:r w:rsidRPr="00CE1A25">
        <w:rPr>
          <w:color w:val="auto"/>
        </w:rPr>
        <w:t>, £ per week at 2022/23 prices</w:t>
      </w:r>
    </w:p>
    <w:tbl>
      <w:tblPr>
        <w:tblStyle w:val="TableGrid"/>
        <w:tblW w:w="0" w:type="auto"/>
        <w:tblLayout w:type="fixed"/>
        <w:tblLook w:val="04A0" w:firstRow="1" w:lastRow="0" w:firstColumn="1" w:lastColumn="0" w:noHBand="0" w:noVBand="1"/>
      </w:tblPr>
      <w:tblGrid>
        <w:gridCol w:w="4815"/>
        <w:gridCol w:w="2283"/>
        <w:gridCol w:w="2283"/>
        <w:gridCol w:w="2283"/>
        <w:gridCol w:w="2284"/>
      </w:tblGrid>
      <w:tr w:rsidR="00CE1A25" w:rsidRPr="00CE1A25" w14:paraId="768A06B4" w14:textId="77777777" w:rsidTr="00115185">
        <w:trPr>
          <w:trHeight w:val="610"/>
        </w:trPr>
        <w:tc>
          <w:tcPr>
            <w:tcW w:w="4815" w:type="dxa"/>
            <w:shd w:val="clear" w:color="auto" w:fill="D9D9D9" w:themeFill="background1" w:themeFillShade="D9"/>
            <w:hideMark/>
          </w:tcPr>
          <w:p w14:paraId="6A2DEA90" w14:textId="77777777" w:rsidR="00755A3B" w:rsidRPr="00CE1A25" w:rsidRDefault="00755A3B" w:rsidP="00755A3B">
            <w:pPr>
              <w:rPr>
                <w:color w:val="auto"/>
                <w:sz w:val="18"/>
                <w:szCs w:val="18"/>
              </w:rPr>
            </w:pPr>
            <w:r w:rsidRPr="00CE1A25">
              <w:rPr>
                <w:color w:val="auto"/>
                <w:sz w:val="18"/>
                <w:szCs w:val="18"/>
              </w:rPr>
              <w:t>Cost of Care exercise results - £ per resident per week</w:t>
            </w:r>
          </w:p>
        </w:tc>
        <w:tc>
          <w:tcPr>
            <w:tcW w:w="2283" w:type="dxa"/>
            <w:vAlign w:val="bottom"/>
            <w:hideMark/>
          </w:tcPr>
          <w:p w14:paraId="7E8C8248" w14:textId="5CEA6736" w:rsidR="00755A3B" w:rsidRPr="00CE1A25" w:rsidRDefault="00755A3B" w:rsidP="00755A3B">
            <w:pPr>
              <w:jc w:val="center"/>
              <w:rPr>
                <w:color w:val="auto"/>
                <w:sz w:val="18"/>
                <w:szCs w:val="18"/>
              </w:rPr>
            </w:pPr>
            <w:r w:rsidRPr="00CE1A25">
              <w:rPr>
                <w:rFonts w:ascii="Calibri" w:hAnsi="Calibri" w:cs="Calibri"/>
                <w:color w:val="auto"/>
              </w:rPr>
              <w:t>65+ care home places without nursing</w:t>
            </w:r>
          </w:p>
        </w:tc>
        <w:tc>
          <w:tcPr>
            <w:tcW w:w="2283" w:type="dxa"/>
            <w:vAlign w:val="bottom"/>
            <w:hideMark/>
          </w:tcPr>
          <w:p w14:paraId="6F6EFA8A" w14:textId="6CB79695" w:rsidR="00755A3B" w:rsidRPr="00CE1A25" w:rsidRDefault="00755A3B" w:rsidP="00755A3B">
            <w:pPr>
              <w:jc w:val="center"/>
              <w:rPr>
                <w:color w:val="auto"/>
                <w:sz w:val="18"/>
                <w:szCs w:val="18"/>
              </w:rPr>
            </w:pPr>
            <w:r w:rsidRPr="00CE1A25">
              <w:rPr>
                <w:rFonts w:ascii="Calibri" w:hAnsi="Calibri" w:cs="Calibri"/>
                <w:color w:val="auto"/>
              </w:rPr>
              <w:t>65+ care home places without nursing, enhanced needs</w:t>
            </w:r>
          </w:p>
        </w:tc>
        <w:tc>
          <w:tcPr>
            <w:tcW w:w="2283" w:type="dxa"/>
            <w:vAlign w:val="bottom"/>
            <w:hideMark/>
          </w:tcPr>
          <w:p w14:paraId="0F8E800A" w14:textId="022ABC95" w:rsidR="00755A3B" w:rsidRPr="00CE1A25" w:rsidRDefault="00755A3B" w:rsidP="00755A3B">
            <w:pPr>
              <w:jc w:val="center"/>
              <w:rPr>
                <w:color w:val="auto"/>
                <w:sz w:val="18"/>
                <w:szCs w:val="18"/>
              </w:rPr>
            </w:pPr>
            <w:r w:rsidRPr="00CE1A25">
              <w:rPr>
                <w:rFonts w:ascii="Calibri" w:hAnsi="Calibri" w:cs="Calibri"/>
                <w:color w:val="auto"/>
              </w:rPr>
              <w:t>65+ care home places with nursing</w:t>
            </w:r>
          </w:p>
        </w:tc>
        <w:tc>
          <w:tcPr>
            <w:tcW w:w="2284" w:type="dxa"/>
            <w:vAlign w:val="bottom"/>
            <w:hideMark/>
          </w:tcPr>
          <w:p w14:paraId="68D2B581" w14:textId="2E7210C9" w:rsidR="00755A3B" w:rsidRPr="00CE1A25" w:rsidRDefault="00755A3B" w:rsidP="00755A3B">
            <w:pPr>
              <w:jc w:val="center"/>
              <w:rPr>
                <w:color w:val="auto"/>
                <w:sz w:val="18"/>
                <w:szCs w:val="18"/>
              </w:rPr>
            </w:pPr>
            <w:r w:rsidRPr="00CE1A25">
              <w:rPr>
                <w:rFonts w:ascii="Calibri" w:hAnsi="Calibri" w:cs="Calibri"/>
                <w:color w:val="auto"/>
              </w:rPr>
              <w:t>65+ care home places with nursing, enhanced needs</w:t>
            </w:r>
          </w:p>
        </w:tc>
      </w:tr>
      <w:tr w:rsidR="00CE1A25" w:rsidRPr="00CE1A25" w14:paraId="6006983C" w14:textId="77777777" w:rsidTr="00572731">
        <w:trPr>
          <w:trHeight w:val="263"/>
        </w:trPr>
        <w:tc>
          <w:tcPr>
            <w:tcW w:w="4815" w:type="dxa"/>
            <w:shd w:val="clear" w:color="auto" w:fill="D9D9D9" w:themeFill="background1" w:themeFillShade="D9"/>
          </w:tcPr>
          <w:p w14:paraId="2830165C" w14:textId="77777777" w:rsidR="00EF4D43" w:rsidRPr="00CE1A25" w:rsidRDefault="00EF4D43" w:rsidP="003C4AF2">
            <w:pPr>
              <w:rPr>
                <w:color w:val="auto"/>
                <w:sz w:val="18"/>
                <w:szCs w:val="18"/>
              </w:rPr>
            </w:pPr>
          </w:p>
        </w:tc>
        <w:tc>
          <w:tcPr>
            <w:tcW w:w="9133" w:type="dxa"/>
            <w:gridSpan w:val="4"/>
            <w:tcBorders>
              <w:bottom w:val="single" w:sz="4" w:space="0" w:color="auto"/>
            </w:tcBorders>
            <w:vAlign w:val="center"/>
          </w:tcPr>
          <w:p w14:paraId="57D6A1B6" w14:textId="77777777" w:rsidR="00EF4D43" w:rsidRPr="00CE1A25" w:rsidRDefault="00EF4D43" w:rsidP="003C4AF2">
            <w:pPr>
              <w:jc w:val="center"/>
              <w:rPr>
                <w:color w:val="auto"/>
                <w:sz w:val="18"/>
                <w:szCs w:val="18"/>
              </w:rPr>
            </w:pPr>
            <w:r w:rsidRPr="00CE1A25">
              <w:rPr>
                <w:color w:val="auto"/>
                <w:sz w:val="18"/>
                <w:szCs w:val="18"/>
              </w:rPr>
              <w:t>(The numbers in brackets represent the number of fully or partially validated toolkits from which the given cost line median was derived)</w:t>
            </w:r>
          </w:p>
        </w:tc>
      </w:tr>
      <w:tr w:rsidR="00572731" w:rsidRPr="00CE1A25" w14:paraId="6FCB8296" w14:textId="77777777" w:rsidTr="00572731">
        <w:trPr>
          <w:trHeight w:val="411"/>
        </w:trPr>
        <w:tc>
          <w:tcPr>
            <w:tcW w:w="4815" w:type="dxa"/>
            <w:shd w:val="clear" w:color="auto" w:fill="D9D9D9" w:themeFill="background1" w:themeFillShade="D9"/>
            <w:noWrap/>
            <w:hideMark/>
          </w:tcPr>
          <w:p w14:paraId="780B1CD2" w14:textId="77777777" w:rsidR="00572731" w:rsidRPr="00CE1A25" w:rsidRDefault="00572731" w:rsidP="00572731">
            <w:pPr>
              <w:rPr>
                <w:b/>
                <w:bCs/>
                <w:color w:val="auto"/>
                <w:sz w:val="18"/>
                <w:szCs w:val="18"/>
              </w:rPr>
            </w:pPr>
            <w:r w:rsidRPr="00CE1A25">
              <w:rPr>
                <w:b/>
                <w:bCs/>
                <w:color w:val="auto"/>
                <w:sz w:val="18"/>
                <w:szCs w:val="18"/>
              </w:rPr>
              <w:t>Staffing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D9B20" w14:textId="5961839C" w:rsidR="00572731" w:rsidRPr="00CE1A25" w:rsidRDefault="00572731" w:rsidP="00572731">
            <w:pPr>
              <w:jc w:val="right"/>
              <w:rPr>
                <w:b/>
                <w:bCs/>
                <w:color w:val="auto"/>
                <w:sz w:val="18"/>
                <w:szCs w:val="18"/>
              </w:rPr>
            </w:pPr>
            <w:r>
              <w:rPr>
                <w:b/>
                <w:bCs/>
                <w:color w:val="000000"/>
              </w:rPr>
              <w:t xml:space="preserve">                481.20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B14F7C2" w14:textId="40322001" w:rsidR="00572731" w:rsidRPr="00CE1A25" w:rsidRDefault="00572731" w:rsidP="00572731">
            <w:pPr>
              <w:jc w:val="right"/>
              <w:rPr>
                <w:b/>
                <w:bCs/>
                <w:color w:val="auto"/>
                <w:sz w:val="18"/>
                <w:szCs w:val="18"/>
              </w:rPr>
            </w:pPr>
            <w:r>
              <w:rPr>
                <w:b/>
                <w:bCs/>
                <w:color w:val="000000"/>
              </w:rPr>
              <w:t xml:space="preserve">                498.03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E71C537" w14:textId="247B4B91" w:rsidR="00572731" w:rsidRPr="00CE1A25" w:rsidRDefault="00572731" w:rsidP="00572731">
            <w:pPr>
              <w:jc w:val="right"/>
              <w:rPr>
                <w:b/>
                <w:bCs/>
                <w:color w:val="auto"/>
                <w:sz w:val="18"/>
                <w:szCs w:val="18"/>
              </w:rPr>
            </w:pPr>
            <w:r>
              <w:rPr>
                <w:b/>
                <w:bCs/>
                <w:color w:val="000000"/>
              </w:rPr>
              <w:t xml:space="preserve">                653.00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DA78CA6" w14:textId="35AAA519" w:rsidR="00572731" w:rsidRPr="00CE1A25" w:rsidRDefault="00572731" w:rsidP="00572731">
            <w:pPr>
              <w:jc w:val="right"/>
              <w:rPr>
                <w:b/>
                <w:bCs/>
                <w:color w:val="auto"/>
                <w:sz w:val="18"/>
                <w:szCs w:val="18"/>
              </w:rPr>
            </w:pPr>
            <w:r>
              <w:rPr>
                <w:b/>
                <w:bCs/>
                <w:color w:val="000000"/>
              </w:rPr>
              <w:t xml:space="preserve">                710.04 </w:t>
            </w:r>
          </w:p>
        </w:tc>
      </w:tr>
      <w:tr w:rsidR="00572731" w:rsidRPr="00CE1A25" w14:paraId="0BB1011F" w14:textId="77777777" w:rsidTr="00572731">
        <w:trPr>
          <w:trHeight w:val="300"/>
        </w:trPr>
        <w:tc>
          <w:tcPr>
            <w:tcW w:w="4815" w:type="dxa"/>
            <w:shd w:val="clear" w:color="auto" w:fill="D9D9D9" w:themeFill="background1" w:themeFillShade="D9"/>
            <w:noWrap/>
            <w:hideMark/>
          </w:tcPr>
          <w:p w14:paraId="6D5D9CDD" w14:textId="77777777" w:rsidR="00572731" w:rsidRPr="00CE1A25" w:rsidRDefault="00572731" w:rsidP="00572731">
            <w:pPr>
              <w:rPr>
                <w:color w:val="auto"/>
                <w:sz w:val="18"/>
                <w:szCs w:val="18"/>
              </w:rPr>
            </w:pPr>
            <w:r w:rsidRPr="00CE1A25">
              <w:rPr>
                <w:color w:val="auto"/>
                <w:sz w:val="18"/>
                <w:szCs w:val="18"/>
              </w:rPr>
              <w:t>Nursing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CB89" w14:textId="1C722400" w:rsidR="00572731" w:rsidRPr="00CE1A25" w:rsidRDefault="00572731" w:rsidP="00572731">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2282D59" w14:textId="4A82C255" w:rsidR="00572731" w:rsidRPr="00CE1A25" w:rsidRDefault="00572731" w:rsidP="00572731">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A607C5C" w14:textId="08C16754" w:rsidR="00572731" w:rsidRPr="00CE1A25" w:rsidRDefault="00572731" w:rsidP="00572731">
            <w:pPr>
              <w:jc w:val="right"/>
              <w:rPr>
                <w:color w:val="auto"/>
                <w:sz w:val="18"/>
                <w:szCs w:val="18"/>
              </w:rPr>
            </w:pPr>
            <w:r>
              <w:rPr>
                <w:color w:val="000000"/>
              </w:rPr>
              <w:t xml:space="preserve"> 240.26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28FA4C5" w14:textId="364B43E1" w:rsidR="00572731" w:rsidRPr="00CE1A25" w:rsidRDefault="00572731" w:rsidP="00572731">
            <w:pPr>
              <w:jc w:val="right"/>
              <w:rPr>
                <w:color w:val="auto"/>
                <w:sz w:val="18"/>
                <w:szCs w:val="18"/>
              </w:rPr>
            </w:pPr>
            <w:r>
              <w:rPr>
                <w:color w:val="000000"/>
              </w:rPr>
              <w:t xml:space="preserve"> 253.25    (13) </w:t>
            </w:r>
          </w:p>
        </w:tc>
      </w:tr>
      <w:tr w:rsidR="00572731" w:rsidRPr="00CE1A25" w14:paraId="77892F7B" w14:textId="77777777" w:rsidTr="00572731">
        <w:trPr>
          <w:trHeight w:val="300"/>
        </w:trPr>
        <w:tc>
          <w:tcPr>
            <w:tcW w:w="4815" w:type="dxa"/>
            <w:shd w:val="clear" w:color="auto" w:fill="D9D9D9" w:themeFill="background1" w:themeFillShade="D9"/>
            <w:noWrap/>
            <w:hideMark/>
          </w:tcPr>
          <w:p w14:paraId="2084B6F0" w14:textId="77777777" w:rsidR="00572731" w:rsidRPr="00CE1A25" w:rsidRDefault="00572731" w:rsidP="00572731">
            <w:pPr>
              <w:rPr>
                <w:color w:val="auto"/>
                <w:sz w:val="18"/>
                <w:szCs w:val="18"/>
              </w:rPr>
            </w:pPr>
            <w:r w:rsidRPr="00CE1A25">
              <w:rPr>
                <w:color w:val="auto"/>
                <w:sz w:val="18"/>
                <w:szCs w:val="18"/>
              </w:rPr>
              <w:t>Care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AE344" w14:textId="0EF4F78D" w:rsidR="00572731" w:rsidRPr="00CE1A25" w:rsidRDefault="00572731" w:rsidP="00572731">
            <w:pPr>
              <w:jc w:val="right"/>
              <w:rPr>
                <w:color w:val="auto"/>
                <w:sz w:val="18"/>
                <w:szCs w:val="18"/>
              </w:rPr>
            </w:pPr>
            <w:r>
              <w:rPr>
                <w:color w:val="000000"/>
              </w:rPr>
              <w:t xml:space="preserve"> 341.93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59D6586" w14:textId="5D4FE690" w:rsidR="00572731" w:rsidRPr="00CE1A25" w:rsidRDefault="00572731" w:rsidP="00572731">
            <w:pPr>
              <w:jc w:val="right"/>
              <w:rPr>
                <w:color w:val="auto"/>
                <w:sz w:val="18"/>
                <w:szCs w:val="18"/>
              </w:rPr>
            </w:pPr>
            <w:r>
              <w:rPr>
                <w:color w:val="000000"/>
              </w:rPr>
              <w:t xml:space="preserve"> 358.76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24C738A" w14:textId="6E60CB1A" w:rsidR="00572731" w:rsidRPr="00CE1A25" w:rsidRDefault="00572731" w:rsidP="00572731">
            <w:pPr>
              <w:jc w:val="right"/>
              <w:rPr>
                <w:color w:val="auto"/>
                <w:sz w:val="18"/>
                <w:szCs w:val="18"/>
              </w:rPr>
            </w:pPr>
            <w:r>
              <w:rPr>
                <w:color w:val="000000"/>
              </w:rPr>
              <w:t xml:space="preserve"> 273.47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9F92EE7" w14:textId="078FA132" w:rsidR="00572731" w:rsidRPr="00CE1A25" w:rsidRDefault="00572731" w:rsidP="00572731">
            <w:pPr>
              <w:jc w:val="right"/>
              <w:rPr>
                <w:color w:val="auto"/>
                <w:sz w:val="18"/>
                <w:szCs w:val="18"/>
              </w:rPr>
            </w:pPr>
            <w:r>
              <w:rPr>
                <w:color w:val="000000"/>
              </w:rPr>
              <w:t xml:space="preserve"> 317.52       (11) </w:t>
            </w:r>
          </w:p>
        </w:tc>
      </w:tr>
      <w:tr w:rsidR="00572731" w:rsidRPr="00CE1A25" w14:paraId="0CAFA006" w14:textId="77777777" w:rsidTr="00572731">
        <w:trPr>
          <w:trHeight w:val="300"/>
        </w:trPr>
        <w:tc>
          <w:tcPr>
            <w:tcW w:w="4815" w:type="dxa"/>
            <w:shd w:val="clear" w:color="auto" w:fill="D9D9D9" w:themeFill="background1" w:themeFillShade="D9"/>
            <w:noWrap/>
            <w:hideMark/>
          </w:tcPr>
          <w:p w14:paraId="64EF712D" w14:textId="77777777" w:rsidR="00572731" w:rsidRPr="00CE1A25" w:rsidRDefault="00572731" w:rsidP="00572731">
            <w:pPr>
              <w:rPr>
                <w:color w:val="auto"/>
                <w:sz w:val="18"/>
                <w:szCs w:val="18"/>
              </w:rPr>
            </w:pPr>
            <w:r w:rsidRPr="00CE1A25">
              <w:rPr>
                <w:color w:val="auto"/>
                <w:sz w:val="18"/>
                <w:szCs w:val="18"/>
              </w:rPr>
              <w:t>Therapy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5AFFA" w14:textId="0977BA59" w:rsidR="00572731" w:rsidRPr="00CE1A25" w:rsidRDefault="00572731" w:rsidP="00572731">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0CCE17D" w14:textId="6BA5F638" w:rsidR="00572731" w:rsidRPr="00CE1A25" w:rsidRDefault="00572731" w:rsidP="00572731">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EF33FD1" w14:textId="349CE754" w:rsidR="00572731" w:rsidRPr="00CE1A25" w:rsidRDefault="00572731" w:rsidP="00572731">
            <w:pPr>
              <w:jc w:val="right"/>
              <w:rPr>
                <w:color w:val="auto"/>
                <w:sz w:val="18"/>
                <w:szCs w:val="18"/>
              </w:rPr>
            </w:pPr>
            <w:r>
              <w:rPr>
                <w:color w:val="000000"/>
              </w:rPr>
              <w:t xml:space="preserve"> -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4E412BD" w14:textId="3810AB1A" w:rsidR="00572731" w:rsidRPr="00CE1A25" w:rsidRDefault="00572731" w:rsidP="00572731">
            <w:pPr>
              <w:jc w:val="right"/>
              <w:rPr>
                <w:color w:val="auto"/>
                <w:sz w:val="18"/>
                <w:szCs w:val="18"/>
              </w:rPr>
            </w:pPr>
            <w:r>
              <w:rPr>
                <w:color w:val="000000"/>
              </w:rPr>
              <w:t xml:space="preserve"> - </w:t>
            </w:r>
          </w:p>
        </w:tc>
      </w:tr>
      <w:tr w:rsidR="00572731" w:rsidRPr="00CE1A25" w14:paraId="4172AC8F" w14:textId="77777777" w:rsidTr="00572731">
        <w:trPr>
          <w:trHeight w:val="300"/>
        </w:trPr>
        <w:tc>
          <w:tcPr>
            <w:tcW w:w="4815" w:type="dxa"/>
            <w:shd w:val="clear" w:color="auto" w:fill="D9D9D9" w:themeFill="background1" w:themeFillShade="D9"/>
            <w:noWrap/>
            <w:hideMark/>
          </w:tcPr>
          <w:p w14:paraId="489AC4F8" w14:textId="77777777" w:rsidR="00572731" w:rsidRPr="00CE1A25" w:rsidRDefault="00572731" w:rsidP="00572731">
            <w:pPr>
              <w:rPr>
                <w:color w:val="auto"/>
                <w:sz w:val="18"/>
                <w:szCs w:val="18"/>
              </w:rPr>
            </w:pPr>
            <w:r w:rsidRPr="00CE1A25">
              <w:rPr>
                <w:color w:val="auto"/>
                <w:sz w:val="18"/>
                <w:szCs w:val="18"/>
              </w:rPr>
              <w:t>Activity Coordinators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3402C" w14:textId="558057D2" w:rsidR="00572731" w:rsidRPr="00CE1A25" w:rsidRDefault="00572731" w:rsidP="00572731">
            <w:pPr>
              <w:jc w:val="right"/>
              <w:rPr>
                <w:color w:val="auto"/>
                <w:sz w:val="18"/>
                <w:szCs w:val="18"/>
              </w:rPr>
            </w:pPr>
            <w:r>
              <w:rPr>
                <w:color w:val="000000"/>
              </w:rPr>
              <w:t xml:space="preserve"> 9.5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A41CF45" w14:textId="5CFA32C2" w:rsidR="00572731" w:rsidRPr="00CE1A25" w:rsidRDefault="00572731" w:rsidP="00572731">
            <w:pPr>
              <w:jc w:val="right"/>
              <w:rPr>
                <w:color w:val="auto"/>
                <w:sz w:val="18"/>
                <w:szCs w:val="18"/>
              </w:rPr>
            </w:pPr>
            <w:r>
              <w:rPr>
                <w:color w:val="000000"/>
              </w:rPr>
              <w:t xml:space="preserve"> 9.5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9B96A7F" w14:textId="38C526F1" w:rsidR="00572731" w:rsidRPr="00CE1A25" w:rsidRDefault="00572731" w:rsidP="00572731">
            <w:pPr>
              <w:jc w:val="right"/>
              <w:rPr>
                <w:color w:val="auto"/>
                <w:sz w:val="18"/>
                <w:szCs w:val="18"/>
              </w:rPr>
            </w:pPr>
            <w:r>
              <w:rPr>
                <w:color w:val="000000"/>
              </w:rPr>
              <w:t xml:space="preserve"> 9.5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9378192" w14:textId="39C7663E" w:rsidR="00572731" w:rsidRPr="00CE1A25" w:rsidRDefault="00572731" w:rsidP="00572731">
            <w:pPr>
              <w:jc w:val="right"/>
              <w:rPr>
                <w:color w:val="auto"/>
                <w:sz w:val="18"/>
                <w:szCs w:val="18"/>
              </w:rPr>
            </w:pPr>
            <w:r>
              <w:rPr>
                <w:color w:val="000000"/>
              </w:rPr>
              <w:t xml:space="preserve"> 9.5        (26) </w:t>
            </w:r>
          </w:p>
        </w:tc>
      </w:tr>
      <w:tr w:rsidR="00572731" w:rsidRPr="00CE1A25" w14:paraId="11B1B7B9" w14:textId="77777777" w:rsidTr="00572731">
        <w:trPr>
          <w:trHeight w:val="300"/>
        </w:trPr>
        <w:tc>
          <w:tcPr>
            <w:tcW w:w="4815" w:type="dxa"/>
            <w:shd w:val="clear" w:color="auto" w:fill="D9D9D9" w:themeFill="background1" w:themeFillShade="D9"/>
            <w:noWrap/>
            <w:hideMark/>
          </w:tcPr>
          <w:p w14:paraId="6752C0B7" w14:textId="77777777" w:rsidR="00572731" w:rsidRPr="00CE1A25" w:rsidRDefault="00572731" w:rsidP="00572731">
            <w:pPr>
              <w:rPr>
                <w:color w:val="auto"/>
                <w:sz w:val="18"/>
                <w:szCs w:val="18"/>
              </w:rPr>
            </w:pPr>
            <w:r w:rsidRPr="00CE1A25">
              <w:rPr>
                <w:color w:val="auto"/>
                <w:sz w:val="18"/>
                <w:szCs w:val="18"/>
              </w:rPr>
              <w:t>Service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8135B" w14:textId="69666AF0" w:rsidR="00572731" w:rsidRPr="00CE1A25" w:rsidRDefault="00572731" w:rsidP="00572731">
            <w:pPr>
              <w:jc w:val="right"/>
              <w:rPr>
                <w:color w:val="auto"/>
                <w:sz w:val="18"/>
                <w:szCs w:val="18"/>
              </w:rPr>
            </w:pPr>
            <w:r>
              <w:rPr>
                <w:color w:val="000000"/>
              </w:rPr>
              <w:t xml:space="preserve"> 35.1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CCB72F5" w14:textId="31B1203B" w:rsidR="00572731" w:rsidRPr="00CE1A25" w:rsidRDefault="00572731" w:rsidP="00572731">
            <w:pPr>
              <w:jc w:val="right"/>
              <w:rPr>
                <w:color w:val="auto"/>
                <w:sz w:val="18"/>
                <w:szCs w:val="18"/>
              </w:rPr>
            </w:pPr>
            <w:r>
              <w:rPr>
                <w:color w:val="000000"/>
              </w:rPr>
              <w:t xml:space="preserve"> 35.1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406063B" w14:textId="4EB7ECBA" w:rsidR="00572731" w:rsidRPr="00CE1A25" w:rsidRDefault="00572731" w:rsidP="00572731">
            <w:pPr>
              <w:jc w:val="right"/>
              <w:rPr>
                <w:color w:val="auto"/>
                <w:sz w:val="18"/>
                <w:szCs w:val="18"/>
              </w:rPr>
            </w:pPr>
            <w:r>
              <w:rPr>
                <w:color w:val="000000"/>
              </w:rPr>
              <w:t xml:space="preserve"> 35.1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629EE90" w14:textId="32357578" w:rsidR="00572731" w:rsidRPr="00CE1A25" w:rsidRDefault="00572731" w:rsidP="00572731">
            <w:pPr>
              <w:jc w:val="right"/>
              <w:rPr>
                <w:color w:val="auto"/>
                <w:sz w:val="18"/>
                <w:szCs w:val="18"/>
              </w:rPr>
            </w:pPr>
            <w:r>
              <w:rPr>
                <w:color w:val="000000"/>
              </w:rPr>
              <w:t xml:space="preserve"> 35.1        (34) </w:t>
            </w:r>
          </w:p>
        </w:tc>
      </w:tr>
      <w:tr w:rsidR="00572731" w:rsidRPr="00CE1A25" w14:paraId="70C3E475" w14:textId="77777777" w:rsidTr="00572731">
        <w:trPr>
          <w:trHeight w:val="300"/>
        </w:trPr>
        <w:tc>
          <w:tcPr>
            <w:tcW w:w="4815" w:type="dxa"/>
            <w:shd w:val="clear" w:color="auto" w:fill="D9D9D9" w:themeFill="background1" w:themeFillShade="D9"/>
            <w:noWrap/>
            <w:hideMark/>
          </w:tcPr>
          <w:p w14:paraId="69E1EA87" w14:textId="77777777" w:rsidR="00572731" w:rsidRPr="00CE1A25" w:rsidRDefault="00572731" w:rsidP="00572731">
            <w:pPr>
              <w:rPr>
                <w:color w:val="auto"/>
                <w:sz w:val="18"/>
                <w:szCs w:val="18"/>
              </w:rPr>
            </w:pPr>
            <w:r w:rsidRPr="00CE1A25">
              <w:rPr>
                <w:color w:val="auto"/>
                <w:sz w:val="18"/>
                <w:szCs w:val="18"/>
              </w:rPr>
              <w:t>Reception &amp; Admin</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F3156" w14:textId="36E701E5" w:rsidR="00572731" w:rsidRPr="00CE1A25" w:rsidRDefault="00572731" w:rsidP="00572731">
            <w:pPr>
              <w:jc w:val="right"/>
              <w:rPr>
                <w:color w:val="auto"/>
                <w:sz w:val="18"/>
                <w:szCs w:val="18"/>
              </w:rPr>
            </w:pPr>
            <w:r>
              <w:rPr>
                <w:color w:val="000000"/>
              </w:rPr>
              <w:t xml:space="preserve"> 9.75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544601F" w14:textId="61CF0B27" w:rsidR="00572731" w:rsidRPr="00CE1A25" w:rsidRDefault="00572731" w:rsidP="00572731">
            <w:pPr>
              <w:jc w:val="right"/>
              <w:rPr>
                <w:color w:val="auto"/>
                <w:sz w:val="18"/>
                <w:szCs w:val="18"/>
              </w:rPr>
            </w:pPr>
            <w:r>
              <w:rPr>
                <w:color w:val="000000"/>
              </w:rPr>
              <w:t xml:space="preserve"> 9.75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B2861BA" w14:textId="179595FD" w:rsidR="00572731" w:rsidRPr="00CE1A25" w:rsidRDefault="00572731" w:rsidP="00572731">
            <w:pPr>
              <w:jc w:val="right"/>
              <w:rPr>
                <w:color w:val="auto"/>
                <w:sz w:val="18"/>
                <w:szCs w:val="18"/>
              </w:rPr>
            </w:pPr>
            <w:r>
              <w:rPr>
                <w:color w:val="000000"/>
              </w:rPr>
              <w:t xml:space="preserve"> 9.75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739D598" w14:textId="21D4A462" w:rsidR="00572731" w:rsidRPr="00CE1A25" w:rsidRDefault="00572731" w:rsidP="00572731">
            <w:pPr>
              <w:jc w:val="right"/>
              <w:rPr>
                <w:color w:val="auto"/>
                <w:sz w:val="18"/>
                <w:szCs w:val="18"/>
              </w:rPr>
            </w:pPr>
            <w:r>
              <w:rPr>
                <w:color w:val="000000"/>
              </w:rPr>
              <w:t xml:space="preserve"> 9.75        (26) </w:t>
            </w:r>
          </w:p>
        </w:tc>
      </w:tr>
      <w:tr w:rsidR="00572731" w:rsidRPr="00CE1A25" w14:paraId="140DA604" w14:textId="77777777" w:rsidTr="00572731">
        <w:trPr>
          <w:trHeight w:val="300"/>
        </w:trPr>
        <w:tc>
          <w:tcPr>
            <w:tcW w:w="4815" w:type="dxa"/>
            <w:shd w:val="clear" w:color="auto" w:fill="D9D9D9" w:themeFill="background1" w:themeFillShade="D9"/>
            <w:noWrap/>
            <w:hideMark/>
          </w:tcPr>
          <w:p w14:paraId="26205E35" w14:textId="77777777" w:rsidR="00572731" w:rsidRPr="00CE1A25" w:rsidRDefault="00572731" w:rsidP="00572731">
            <w:pPr>
              <w:rPr>
                <w:color w:val="auto"/>
                <w:sz w:val="18"/>
                <w:szCs w:val="18"/>
              </w:rPr>
            </w:pPr>
            <w:r w:rsidRPr="00CE1A25">
              <w:rPr>
                <w:color w:val="auto"/>
                <w:sz w:val="18"/>
                <w:szCs w:val="18"/>
              </w:rPr>
              <w:t>Chefs / Cooks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ADAEA" w14:textId="71E23C37" w:rsidR="00572731" w:rsidRPr="00CE1A25" w:rsidRDefault="00572731" w:rsidP="00572731">
            <w:pPr>
              <w:jc w:val="right"/>
              <w:rPr>
                <w:color w:val="auto"/>
                <w:sz w:val="18"/>
                <w:szCs w:val="18"/>
              </w:rPr>
            </w:pPr>
            <w:r>
              <w:rPr>
                <w:color w:val="000000"/>
              </w:rPr>
              <w:t xml:space="preserve"> 27.59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B3D1DAB" w14:textId="4A3229C2" w:rsidR="00572731" w:rsidRPr="00CE1A25" w:rsidRDefault="00572731" w:rsidP="00572731">
            <w:pPr>
              <w:jc w:val="right"/>
              <w:rPr>
                <w:color w:val="auto"/>
                <w:sz w:val="18"/>
                <w:szCs w:val="18"/>
              </w:rPr>
            </w:pPr>
            <w:r>
              <w:rPr>
                <w:color w:val="000000"/>
              </w:rPr>
              <w:t xml:space="preserve"> 27.59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2A82114" w14:textId="120E8D18" w:rsidR="00572731" w:rsidRPr="00CE1A25" w:rsidRDefault="00572731" w:rsidP="00572731">
            <w:pPr>
              <w:jc w:val="right"/>
              <w:rPr>
                <w:color w:val="auto"/>
                <w:sz w:val="18"/>
                <w:szCs w:val="18"/>
              </w:rPr>
            </w:pPr>
            <w:r>
              <w:rPr>
                <w:color w:val="000000"/>
              </w:rPr>
              <w:t xml:space="preserve"> 27.59        (27)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709F520" w14:textId="7A7D0472" w:rsidR="00572731" w:rsidRPr="00CE1A25" w:rsidRDefault="00572731" w:rsidP="00572731">
            <w:pPr>
              <w:jc w:val="right"/>
              <w:rPr>
                <w:color w:val="auto"/>
                <w:sz w:val="18"/>
                <w:szCs w:val="18"/>
              </w:rPr>
            </w:pPr>
            <w:r>
              <w:rPr>
                <w:color w:val="000000"/>
              </w:rPr>
              <w:t xml:space="preserve"> 27.59        (27) </w:t>
            </w:r>
          </w:p>
        </w:tc>
      </w:tr>
      <w:tr w:rsidR="00572731" w:rsidRPr="00CE1A25" w14:paraId="25BF78F1" w14:textId="77777777" w:rsidTr="00572731">
        <w:trPr>
          <w:trHeight w:val="350"/>
        </w:trPr>
        <w:tc>
          <w:tcPr>
            <w:tcW w:w="4815" w:type="dxa"/>
            <w:shd w:val="clear" w:color="auto" w:fill="D9D9D9" w:themeFill="background1" w:themeFillShade="D9"/>
            <w:noWrap/>
            <w:hideMark/>
          </w:tcPr>
          <w:p w14:paraId="6AA6B5AD" w14:textId="77777777" w:rsidR="00572731" w:rsidRPr="00CE1A25" w:rsidRDefault="00572731" w:rsidP="00572731">
            <w:pPr>
              <w:rPr>
                <w:color w:val="auto"/>
                <w:sz w:val="18"/>
                <w:szCs w:val="18"/>
              </w:rPr>
            </w:pPr>
            <w:r w:rsidRPr="00CE1A25">
              <w:rPr>
                <w:color w:val="auto"/>
                <w:sz w:val="18"/>
                <w:szCs w:val="18"/>
              </w:rPr>
              <w:t>Domestic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49FF7" w14:textId="5F40F03F" w:rsidR="00572731" w:rsidRPr="00CE1A25" w:rsidRDefault="00572731" w:rsidP="00572731">
            <w:pPr>
              <w:jc w:val="right"/>
              <w:rPr>
                <w:color w:val="auto"/>
                <w:sz w:val="18"/>
                <w:szCs w:val="18"/>
              </w:rPr>
            </w:pPr>
            <w:r>
              <w:rPr>
                <w:color w:val="000000"/>
              </w:rPr>
              <w:t xml:space="preserve"> 46.37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8C992B6" w14:textId="0E610C9D" w:rsidR="00572731" w:rsidRPr="00CE1A25" w:rsidRDefault="00572731" w:rsidP="00572731">
            <w:pPr>
              <w:jc w:val="right"/>
              <w:rPr>
                <w:color w:val="auto"/>
                <w:sz w:val="18"/>
                <w:szCs w:val="18"/>
              </w:rPr>
            </w:pPr>
            <w:r>
              <w:rPr>
                <w:color w:val="000000"/>
              </w:rPr>
              <w:t xml:space="preserve"> 46.37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80E0AA4" w14:textId="3D0AC4B8" w:rsidR="00572731" w:rsidRPr="00CE1A25" w:rsidRDefault="00572731" w:rsidP="00572731">
            <w:pPr>
              <w:jc w:val="right"/>
              <w:rPr>
                <w:color w:val="auto"/>
                <w:sz w:val="18"/>
                <w:szCs w:val="18"/>
              </w:rPr>
            </w:pPr>
            <w:r>
              <w:rPr>
                <w:color w:val="000000"/>
              </w:rPr>
              <w:t xml:space="preserve"> 46.37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DBAE3BD" w14:textId="128AE7D5" w:rsidR="00572731" w:rsidRPr="00CE1A25" w:rsidRDefault="00572731" w:rsidP="00572731">
            <w:pPr>
              <w:jc w:val="right"/>
              <w:rPr>
                <w:color w:val="auto"/>
                <w:sz w:val="18"/>
                <w:szCs w:val="18"/>
              </w:rPr>
            </w:pPr>
            <w:r>
              <w:rPr>
                <w:color w:val="000000"/>
              </w:rPr>
              <w:t xml:space="preserve"> 46.37        (33) </w:t>
            </w:r>
          </w:p>
        </w:tc>
      </w:tr>
      <w:tr w:rsidR="00572731" w:rsidRPr="00CE1A25" w14:paraId="6BD7A803" w14:textId="77777777" w:rsidTr="00572731">
        <w:trPr>
          <w:trHeight w:val="350"/>
        </w:trPr>
        <w:tc>
          <w:tcPr>
            <w:tcW w:w="4815" w:type="dxa"/>
            <w:shd w:val="clear" w:color="auto" w:fill="D9D9D9" w:themeFill="background1" w:themeFillShade="D9"/>
            <w:noWrap/>
            <w:hideMark/>
          </w:tcPr>
          <w:p w14:paraId="3D8F80A1" w14:textId="77777777" w:rsidR="00572731" w:rsidRPr="00CE1A25" w:rsidRDefault="00572731" w:rsidP="00572731">
            <w:pPr>
              <w:rPr>
                <w:color w:val="auto"/>
                <w:sz w:val="18"/>
                <w:szCs w:val="18"/>
              </w:rPr>
            </w:pPr>
            <w:r w:rsidRPr="00CE1A25">
              <w:rPr>
                <w:color w:val="auto"/>
                <w:sz w:val="18"/>
                <w:szCs w:val="18"/>
              </w:rPr>
              <w:t>Maintenance &amp; Gardening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67A7A" w14:textId="0CE1DA36" w:rsidR="00572731" w:rsidRPr="00CE1A25" w:rsidRDefault="00572731" w:rsidP="00572731">
            <w:pPr>
              <w:jc w:val="right"/>
              <w:rPr>
                <w:color w:val="auto"/>
                <w:sz w:val="18"/>
                <w:szCs w:val="18"/>
              </w:rPr>
            </w:pPr>
            <w:r>
              <w:rPr>
                <w:color w:val="000000"/>
              </w:rPr>
              <w:t xml:space="preserve"> 7.22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BD579EE" w14:textId="08935891" w:rsidR="00572731" w:rsidRPr="00CE1A25" w:rsidRDefault="00572731" w:rsidP="00572731">
            <w:pPr>
              <w:jc w:val="right"/>
              <w:rPr>
                <w:color w:val="auto"/>
                <w:sz w:val="18"/>
                <w:szCs w:val="18"/>
              </w:rPr>
            </w:pPr>
            <w:r>
              <w:rPr>
                <w:color w:val="000000"/>
              </w:rPr>
              <w:t xml:space="preserve"> 7.22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7B3709D" w14:textId="403464F5" w:rsidR="00572731" w:rsidRPr="00CE1A25" w:rsidRDefault="00572731" w:rsidP="00572731">
            <w:pPr>
              <w:jc w:val="right"/>
              <w:rPr>
                <w:color w:val="auto"/>
                <w:sz w:val="18"/>
                <w:szCs w:val="18"/>
              </w:rPr>
            </w:pPr>
            <w:r>
              <w:rPr>
                <w:color w:val="000000"/>
              </w:rPr>
              <w:t xml:space="preserve"> 7.22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9F3DFA6" w14:textId="0C456FF8" w:rsidR="00572731" w:rsidRPr="00CE1A25" w:rsidRDefault="00572731" w:rsidP="00572731">
            <w:pPr>
              <w:jc w:val="right"/>
              <w:rPr>
                <w:color w:val="auto"/>
                <w:sz w:val="18"/>
                <w:szCs w:val="18"/>
              </w:rPr>
            </w:pPr>
            <w:r>
              <w:rPr>
                <w:color w:val="000000"/>
              </w:rPr>
              <w:t xml:space="preserve"> 7.22        (33) </w:t>
            </w:r>
          </w:p>
        </w:tc>
      </w:tr>
      <w:tr w:rsidR="00572731" w:rsidRPr="00CE1A25" w14:paraId="28F2C52D" w14:textId="77777777" w:rsidTr="00572731">
        <w:trPr>
          <w:trHeight w:val="350"/>
        </w:trPr>
        <w:tc>
          <w:tcPr>
            <w:tcW w:w="4815" w:type="dxa"/>
            <w:shd w:val="clear" w:color="auto" w:fill="D9D9D9" w:themeFill="background1" w:themeFillShade="D9"/>
            <w:noWrap/>
            <w:hideMark/>
          </w:tcPr>
          <w:p w14:paraId="4B556A95" w14:textId="77777777" w:rsidR="00572731" w:rsidRPr="00CE1A25" w:rsidRDefault="00572731" w:rsidP="00572731">
            <w:pPr>
              <w:rPr>
                <w:color w:val="auto"/>
                <w:sz w:val="18"/>
                <w:szCs w:val="18"/>
              </w:rPr>
            </w:pPr>
            <w:r w:rsidRPr="00CE1A25">
              <w:rPr>
                <w:color w:val="auto"/>
                <w:sz w:val="18"/>
                <w:szCs w:val="18"/>
              </w:rPr>
              <w:t>Other Care Home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6BAC2" w14:textId="1AD85374" w:rsidR="00572731" w:rsidRPr="00CE1A25" w:rsidRDefault="00572731" w:rsidP="00572731">
            <w:pPr>
              <w:jc w:val="right"/>
              <w:rPr>
                <w:color w:val="auto"/>
                <w:sz w:val="18"/>
                <w:szCs w:val="18"/>
              </w:rPr>
            </w:pPr>
            <w:r>
              <w:rPr>
                <w:color w:val="000000"/>
              </w:rPr>
              <w:t xml:space="preserve"> 3.74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C977C24" w14:textId="241C3661" w:rsidR="00572731" w:rsidRPr="00CE1A25" w:rsidRDefault="00572731" w:rsidP="00572731">
            <w:pPr>
              <w:jc w:val="right"/>
              <w:rPr>
                <w:color w:val="auto"/>
                <w:sz w:val="18"/>
                <w:szCs w:val="18"/>
              </w:rPr>
            </w:pPr>
            <w:r>
              <w:rPr>
                <w:color w:val="000000"/>
              </w:rPr>
              <w:t xml:space="preserve"> 3.74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A825ED9" w14:textId="7B99BADE" w:rsidR="00572731" w:rsidRPr="00CE1A25" w:rsidRDefault="00572731" w:rsidP="00572731">
            <w:pPr>
              <w:jc w:val="right"/>
              <w:rPr>
                <w:color w:val="auto"/>
                <w:sz w:val="18"/>
                <w:szCs w:val="18"/>
              </w:rPr>
            </w:pPr>
            <w:r>
              <w:rPr>
                <w:color w:val="000000"/>
              </w:rPr>
              <w:t xml:space="preserve"> 3.74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67D88B7" w14:textId="278C8CCA" w:rsidR="00572731" w:rsidRPr="00CE1A25" w:rsidRDefault="00572731" w:rsidP="00572731">
            <w:pPr>
              <w:jc w:val="right"/>
              <w:rPr>
                <w:color w:val="auto"/>
                <w:sz w:val="18"/>
                <w:szCs w:val="18"/>
              </w:rPr>
            </w:pPr>
            <w:r>
              <w:rPr>
                <w:color w:val="000000"/>
              </w:rPr>
              <w:t xml:space="preserve"> 3.74        (15) </w:t>
            </w:r>
          </w:p>
        </w:tc>
      </w:tr>
      <w:tr w:rsidR="00572731" w:rsidRPr="00CE1A25" w14:paraId="657B9D5C" w14:textId="77777777" w:rsidTr="00572731">
        <w:trPr>
          <w:trHeight w:val="300"/>
        </w:trPr>
        <w:tc>
          <w:tcPr>
            <w:tcW w:w="4815" w:type="dxa"/>
            <w:shd w:val="clear" w:color="auto" w:fill="D9D9D9" w:themeFill="background1" w:themeFillShade="D9"/>
            <w:noWrap/>
            <w:hideMark/>
          </w:tcPr>
          <w:p w14:paraId="04830A05" w14:textId="77777777" w:rsidR="00572731" w:rsidRPr="00CE1A25" w:rsidRDefault="00572731" w:rsidP="00572731">
            <w:pPr>
              <w:rPr>
                <w:b/>
                <w:bCs/>
                <w:color w:val="auto"/>
                <w:sz w:val="18"/>
                <w:szCs w:val="18"/>
              </w:rPr>
            </w:pPr>
            <w:r w:rsidRPr="00CE1A25">
              <w:rPr>
                <w:b/>
                <w:bCs/>
                <w:color w:val="auto"/>
                <w:sz w:val="18"/>
                <w:szCs w:val="18"/>
              </w:rPr>
              <w:t>Care Home Premises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41DE9" w14:textId="2506EBC5" w:rsidR="00572731" w:rsidRPr="00CE1A25" w:rsidRDefault="00572731" w:rsidP="00572731">
            <w:pPr>
              <w:jc w:val="right"/>
              <w:rPr>
                <w:b/>
                <w:bCs/>
                <w:color w:val="auto"/>
                <w:sz w:val="18"/>
                <w:szCs w:val="18"/>
              </w:rPr>
            </w:pPr>
            <w:r>
              <w:rPr>
                <w:b/>
                <w:bCs/>
                <w:color w:val="000000"/>
              </w:rPr>
              <w:t xml:space="preserve">                  33.45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E9C410C" w14:textId="4291BB1B" w:rsidR="00572731" w:rsidRPr="00CE1A25" w:rsidRDefault="00572731" w:rsidP="00572731">
            <w:pPr>
              <w:jc w:val="right"/>
              <w:rPr>
                <w:b/>
                <w:bCs/>
                <w:color w:val="auto"/>
                <w:sz w:val="18"/>
                <w:szCs w:val="18"/>
              </w:rPr>
            </w:pPr>
            <w:r>
              <w:rPr>
                <w:b/>
                <w:bCs/>
                <w:color w:val="000000"/>
              </w:rPr>
              <w:t xml:space="preserve">                  33.45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B783530" w14:textId="523A9C0E" w:rsidR="00572731" w:rsidRPr="00CE1A25" w:rsidRDefault="00572731" w:rsidP="00572731">
            <w:pPr>
              <w:jc w:val="right"/>
              <w:rPr>
                <w:b/>
                <w:bCs/>
                <w:color w:val="auto"/>
                <w:sz w:val="18"/>
                <w:szCs w:val="18"/>
              </w:rPr>
            </w:pPr>
            <w:r>
              <w:rPr>
                <w:b/>
                <w:bCs/>
                <w:color w:val="000000"/>
              </w:rPr>
              <w:t xml:space="preserve">                  33.45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D9D4563" w14:textId="60F4392E" w:rsidR="00572731" w:rsidRPr="00CE1A25" w:rsidRDefault="00572731" w:rsidP="00572731">
            <w:pPr>
              <w:jc w:val="right"/>
              <w:rPr>
                <w:b/>
                <w:bCs/>
                <w:color w:val="auto"/>
                <w:sz w:val="18"/>
                <w:szCs w:val="18"/>
              </w:rPr>
            </w:pPr>
            <w:r>
              <w:rPr>
                <w:b/>
                <w:bCs/>
                <w:color w:val="000000"/>
              </w:rPr>
              <w:t xml:space="preserve">                  33.45 </w:t>
            </w:r>
          </w:p>
        </w:tc>
      </w:tr>
      <w:tr w:rsidR="00572731" w:rsidRPr="00CE1A25" w14:paraId="0CF9DF64" w14:textId="77777777" w:rsidTr="00572731">
        <w:trPr>
          <w:trHeight w:val="300"/>
        </w:trPr>
        <w:tc>
          <w:tcPr>
            <w:tcW w:w="4815" w:type="dxa"/>
            <w:shd w:val="clear" w:color="auto" w:fill="D9D9D9" w:themeFill="background1" w:themeFillShade="D9"/>
            <w:noWrap/>
            <w:hideMark/>
          </w:tcPr>
          <w:p w14:paraId="5250CDAE" w14:textId="77777777" w:rsidR="00572731" w:rsidRPr="00CE1A25" w:rsidRDefault="00572731" w:rsidP="00572731">
            <w:pPr>
              <w:rPr>
                <w:color w:val="auto"/>
                <w:sz w:val="18"/>
                <w:szCs w:val="18"/>
              </w:rPr>
            </w:pPr>
            <w:r w:rsidRPr="00CE1A25">
              <w:rPr>
                <w:color w:val="auto"/>
                <w:sz w:val="18"/>
                <w:szCs w:val="18"/>
              </w:rPr>
              <w:t>Fixtures &amp; Fittings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F5E56" w14:textId="592BC248" w:rsidR="00572731" w:rsidRPr="00CE1A25" w:rsidRDefault="00572731" w:rsidP="00572731">
            <w:pPr>
              <w:jc w:val="right"/>
              <w:rPr>
                <w:color w:val="auto"/>
                <w:sz w:val="18"/>
                <w:szCs w:val="18"/>
              </w:rPr>
            </w:pPr>
            <w:r>
              <w:rPr>
                <w:color w:val="000000"/>
              </w:rPr>
              <w:t xml:space="preserve"> 5.65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A02BFB6" w14:textId="09255C8C" w:rsidR="00572731" w:rsidRPr="00CE1A25" w:rsidRDefault="00572731" w:rsidP="00572731">
            <w:pPr>
              <w:jc w:val="right"/>
              <w:rPr>
                <w:color w:val="auto"/>
                <w:sz w:val="18"/>
                <w:szCs w:val="18"/>
              </w:rPr>
            </w:pPr>
            <w:r>
              <w:rPr>
                <w:color w:val="000000"/>
              </w:rPr>
              <w:t xml:space="preserve"> 5.65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681AB58" w14:textId="5E5C9C0D" w:rsidR="00572731" w:rsidRPr="00CE1A25" w:rsidRDefault="00572731" w:rsidP="00572731">
            <w:pPr>
              <w:jc w:val="right"/>
              <w:rPr>
                <w:color w:val="auto"/>
                <w:sz w:val="18"/>
                <w:szCs w:val="18"/>
              </w:rPr>
            </w:pPr>
            <w:r>
              <w:rPr>
                <w:color w:val="000000"/>
              </w:rPr>
              <w:t xml:space="preserve"> 5.65        (17)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7972882" w14:textId="7B7F000D" w:rsidR="00572731" w:rsidRPr="00CE1A25" w:rsidRDefault="00572731" w:rsidP="00572731">
            <w:pPr>
              <w:jc w:val="right"/>
              <w:rPr>
                <w:color w:val="auto"/>
                <w:sz w:val="18"/>
                <w:szCs w:val="18"/>
              </w:rPr>
            </w:pPr>
            <w:r>
              <w:rPr>
                <w:color w:val="000000"/>
              </w:rPr>
              <w:t xml:space="preserve"> 5.65        (17) </w:t>
            </w:r>
          </w:p>
        </w:tc>
      </w:tr>
      <w:tr w:rsidR="00572731" w:rsidRPr="00CE1A25" w14:paraId="412FB3B2" w14:textId="77777777" w:rsidTr="00572731">
        <w:trPr>
          <w:trHeight w:val="300"/>
        </w:trPr>
        <w:tc>
          <w:tcPr>
            <w:tcW w:w="4815" w:type="dxa"/>
            <w:shd w:val="clear" w:color="auto" w:fill="D9D9D9" w:themeFill="background1" w:themeFillShade="D9"/>
            <w:noWrap/>
            <w:hideMark/>
          </w:tcPr>
          <w:p w14:paraId="68FBC2D6" w14:textId="77777777" w:rsidR="00572731" w:rsidRPr="00CE1A25" w:rsidRDefault="00572731" w:rsidP="00572731">
            <w:pPr>
              <w:rPr>
                <w:color w:val="auto"/>
                <w:sz w:val="18"/>
                <w:szCs w:val="18"/>
              </w:rPr>
            </w:pPr>
            <w:r w:rsidRPr="00CE1A25">
              <w:rPr>
                <w:color w:val="auto"/>
                <w:sz w:val="18"/>
                <w:szCs w:val="18"/>
              </w:rPr>
              <w:lastRenderedPageBreak/>
              <w:t>Repairs and Maintenance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E7ED6" w14:textId="5F92133E" w:rsidR="00572731" w:rsidRPr="00CE1A25" w:rsidRDefault="00572731" w:rsidP="00572731">
            <w:pPr>
              <w:jc w:val="right"/>
              <w:rPr>
                <w:color w:val="auto"/>
                <w:sz w:val="18"/>
                <w:szCs w:val="18"/>
              </w:rPr>
            </w:pPr>
            <w:r>
              <w:rPr>
                <w:color w:val="000000"/>
              </w:rPr>
              <w:t xml:space="preserve"> 18.76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3048B38" w14:textId="4BD68DB4" w:rsidR="00572731" w:rsidRPr="00CE1A25" w:rsidRDefault="00572731" w:rsidP="00572731">
            <w:pPr>
              <w:jc w:val="right"/>
              <w:rPr>
                <w:color w:val="auto"/>
                <w:sz w:val="18"/>
                <w:szCs w:val="18"/>
              </w:rPr>
            </w:pPr>
            <w:r>
              <w:rPr>
                <w:color w:val="000000"/>
              </w:rPr>
              <w:t xml:space="preserve"> 18.76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05DB504" w14:textId="08CBA0D3" w:rsidR="00572731" w:rsidRPr="00CE1A25" w:rsidRDefault="00572731" w:rsidP="00572731">
            <w:pPr>
              <w:jc w:val="right"/>
              <w:rPr>
                <w:color w:val="auto"/>
                <w:sz w:val="18"/>
                <w:szCs w:val="18"/>
              </w:rPr>
            </w:pPr>
            <w:r>
              <w:rPr>
                <w:color w:val="000000"/>
              </w:rPr>
              <w:t xml:space="preserve"> 18.76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5F633D8" w14:textId="2BD6B379" w:rsidR="00572731" w:rsidRPr="00CE1A25" w:rsidRDefault="00572731" w:rsidP="00572731">
            <w:pPr>
              <w:jc w:val="right"/>
              <w:rPr>
                <w:color w:val="auto"/>
                <w:sz w:val="18"/>
                <w:szCs w:val="18"/>
              </w:rPr>
            </w:pPr>
            <w:r>
              <w:rPr>
                <w:color w:val="000000"/>
              </w:rPr>
              <w:t xml:space="preserve"> 18.76        (32) </w:t>
            </w:r>
          </w:p>
        </w:tc>
      </w:tr>
      <w:tr w:rsidR="00572731" w:rsidRPr="00CE1A25" w14:paraId="27678F05" w14:textId="77777777" w:rsidTr="00572731">
        <w:trPr>
          <w:trHeight w:val="300"/>
        </w:trPr>
        <w:tc>
          <w:tcPr>
            <w:tcW w:w="4815" w:type="dxa"/>
            <w:shd w:val="clear" w:color="auto" w:fill="D9D9D9" w:themeFill="background1" w:themeFillShade="D9"/>
            <w:noWrap/>
            <w:hideMark/>
          </w:tcPr>
          <w:p w14:paraId="5E0D7F6A" w14:textId="77777777" w:rsidR="00572731" w:rsidRPr="00CE1A25" w:rsidRDefault="00572731" w:rsidP="00572731">
            <w:pPr>
              <w:rPr>
                <w:color w:val="auto"/>
                <w:sz w:val="18"/>
                <w:szCs w:val="18"/>
              </w:rPr>
            </w:pPr>
            <w:r w:rsidRPr="00CE1A25">
              <w:rPr>
                <w:color w:val="auto"/>
                <w:sz w:val="18"/>
                <w:szCs w:val="18"/>
              </w:rPr>
              <w:t>Furniture, Furnishings and Equipment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DF7D9" w14:textId="075B8563" w:rsidR="00572731" w:rsidRPr="00CE1A25" w:rsidRDefault="00572731" w:rsidP="00572731">
            <w:pPr>
              <w:jc w:val="right"/>
              <w:rPr>
                <w:color w:val="auto"/>
                <w:sz w:val="18"/>
                <w:szCs w:val="18"/>
              </w:rPr>
            </w:pPr>
            <w:r>
              <w:rPr>
                <w:color w:val="000000"/>
              </w:rPr>
              <w:t xml:space="preserve"> 6.46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C7A20B7" w14:textId="1E080CA6" w:rsidR="00572731" w:rsidRPr="00CE1A25" w:rsidRDefault="00572731" w:rsidP="00572731">
            <w:pPr>
              <w:jc w:val="right"/>
              <w:rPr>
                <w:color w:val="auto"/>
                <w:sz w:val="18"/>
                <w:szCs w:val="18"/>
              </w:rPr>
            </w:pPr>
            <w:r>
              <w:rPr>
                <w:color w:val="000000"/>
              </w:rPr>
              <w:t xml:space="preserve"> 6.46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445E101" w14:textId="04778157" w:rsidR="00572731" w:rsidRPr="00CE1A25" w:rsidRDefault="00572731" w:rsidP="00572731">
            <w:pPr>
              <w:jc w:val="right"/>
              <w:rPr>
                <w:color w:val="auto"/>
                <w:sz w:val="18"/>
                <w:szCs w:val="18"/>
              </w:rPr>
            </w:pPr>
            <w:r>
              <w:rPr>
                <w:color w:val="000000"/>
              </w:rPr>
              <w:t xml:space="preserve"> 6.46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7D592A6" w14:textId="425D7439" w:rsidR="00572731" w:rsidRPr="00CE1A25" w:rsidRDefault="00572731" w:rsidP="00572731">
            <w:pPr>
              <w:jc w:val="right"/>
              <w:rPr>
                <w:color w:val="auto"/>
                <w:sz w:val="18"/>
                <w:szCs w:val="18"/>
              </w:rPr>
            </w:pPr>
            <w:r>
              <w:rPr>
                <w:color w:val="000000"/>
              </w:rPr>
              <w:t xml:space="preserve"> 6.46        (32) </w:t>
            </w:r>
          </w:p>
        </w:tc>
      </w:tr>
      <w:tr w:rsidR="00572731" w:rsidRPr="00CE1A25" w14:paraId="5719D217" w14:textId="77777777" w:rsidTr="00572731">
        <w:trPr>
          <w:trHeight w:val="300"/>
        </w:trPr>
        <w:tc>
          <w:tcPr>
            <w:tcW w:w="4815" w:type="dxa"/>
            <w:shd w:val="clear" w:color="auto" w:fill="D9D9D9" w:themeFill="background1" w:themeFillShade="D9"/>
            <w:noWrap/>
            <w:hideMark/>
          </w:tcPr>
          <w:p w14:paraId="4AE68CCE" w14:textId="77777777" w:rsidR="00572731" w:rsidRPr="00CE1A25" w:rsidRDefault="00572731" w:rsidP="00572731">
            <w:pPr>
              <w:rPr>
                <w:color w:val="auto"/>
                <w:sz w:val="18"/>
                <w:szCs w:val="18"/>
              </w:rPr>
            </w:pPr>
            <w:r w:rsidRPr="00CE1A25">
              <w:rPr>
                <w:color w:val="auto"/>
                <w:sz w:val="18"/>
                <w:szCs w:val="18"/>
              </w:rPr>
              <w:t>Other Care Home Premise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49A73" w14:textId="41C696EF" w:rsidR="00572731" w:rsidRPr="00CE1A25" w:rsidRDefault="00572731" w:rsidP="00572731">
            <w:pPr>
              <w:jc w:val="right"/>
              <w:rPr>
                <w:color w:val="auto"/>
                <w:sz w:val="18"/>
                <w:szCs w:val="18"/>
              </w:rPr>
            </w:pPr>
            <w:r>
              <w:rPr>
                <w:color w:val="000000"/>
              </w:rPr>
              <w:t xml:space="preserve"> 2.58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095D88F" w14:textId="5E35F066" w:rsidR="00572731" w:rsidRPr="00CE1A25" w:rsidRDefault="00572731" w:rsidP="00572731">
            <w:pPr>
              <w:jc w:val="right"/>
              <w:rPr>
                <w:color w:val="auto"/>
                <w:sz w:val="18"/>
                <w:szCs w:val="18"/>
              </w:rPr>
            </w:pPr>
            <w:r>
              <w:rPr>
                <w:color w:val="000000"/>
              </w:rPr>
              <w:t xml:space="preserve"> 2.58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FA1DB4A" w14:textId="7C4D693D" w:rsidR="00572731" w:rsidRPr="00CE1A25" w:rsidRDefault="00572731" w:rsidP="00572731">
            <w:pPr>
              <w:jc w:val="right"/>
              <w:rPr>
                <w:color w:val="auto"/>
                <w:sz w:val="18"/>
                <w:szCs w:val="18"/>
              </w:rPr>
            </w:pPr>
            <w:r>
              <w:rPr>
                <w:color w:val="000000"/>
              </w:rPr>
              <w:t xml:space="preserve"> 2.58        (18)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F666ABE" w14:textId="51AD87D3" w:rsidR="00572731" w:rsidRPr="00CE1A25" w:rsidRDefault="00572731" w:rsidP="00572731">
            <w:pPr>
              <w:jc w:val="right"/>
              <w:rPr>
                <w:color w:val="auto"/>
                <w:sz w:val="18"/>
                <w:szCs w:val="18"/>
              </w:rPr>
            </w:pPr>
            <w:r>
              <w:rPr>
                <w:color w:val="000000"/>
              </w:rPr>
              <w:t xml:space="preserve"> 2.58        (18) </w:t>
            </w:r>
          </w:p>
        </w:tc>
      </w:tr>
      <w:tr w:rsidR="00572731" w:rsidRPr="00CE1A25" w14:paraId="01640628" w14:textId="77777777" w:rsidTr="00572731">
        <w:trPr>
          <w:trHeight w:val="300"/>
        </w:trPr>
        <w:tc>
          <w:tcPr>
            <w:tcW w:w="4815" w:type="dxa"/>
            <w:shd w:val="clear" w:color="auto" w:fill="D9D9D9" w:themeFill="background1" w:themeFillShade="D9"/>
            <w:noWrap/>
            <w:hideMark/>
          </w:tcPr>
          <w:p w14:paraId="149D98BF" w14:textId="77777777" w:rsidR="00572731" w:rsidRPr="00CE1A25" w:rsidRDefault="00572731" w:rsidP="00572731">
            <w:pPr>
              <w:rPr>
                <w:b/>
                <w:bCs/>
                <w:color w:val="auto"/>
                <w:sz w:val="18"/>
                <w:szCs w:val="18"/>
              </w:rPr>
            </w:pPr>
            <w:r w:rsidRPr="00CE1A25">
              <w:rPr>
                <w:b/>
                <w:bCs/>
                <w:color w:val="auto"/>
                <w:sz w:val="18"/>
                <w:szCs w:val="18"/>
              </w:rPr>
              <w:t>Care Home Supplies and Services</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CF9896F" w14:textId="0C689A48" w:rsidR="00572731" w:rsidRPr="00CE1A25" w:rsidRDefault="00572731" w:rsidP="00572731">
            <w:pPr>
              <w:jc w:val="right"/>
              <w:rPr>
                <w:b/>
                <w:bCs/>
                <w:color w:val="auto"/>
                <w:sz w:val="18"/>
                <w:szCs w:val="18"/>
              </w:rPr>
            </w:pPr>
            <w:r>
              <w:rPr>
                <w:b/>
                <w:bCs/>
                <w:color w:val="000000"/>
              </w:rPr>
              <w:t xml:space="preserve">                  98.00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C1A746B" w14:textId="50476668" w:rsidR="00572731" w:rsidRPr="00CE1A25" w:rsidRDefault="00572731" w:rsidP="00572731">
            <w:pPr>
              <w:jc w:val="right"/>
              <w:rPr>
                <w:b/>
                <w:bCs/>
                <w:color w:val="auto"/>
                <w:sz w:val="18"/>
                <w:szCs w:val="18"/>
              </w:rPr>
            </w:pPr>
            <w:r>
              <w:rPr>
                <w:b/>
                <w:bCs/>
                <w:color w:val="000000"/>
              </w:rPr>
              <w:t xml:space="preserve">                  98.00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DF0E18B" w14:textId="0638E3F6" w:rsidR="00572731" w:rsidRPr="00CE1A25" w:rsidRDefault="00572731" w:rsidP="00572731">
            <w:pPr>
              <w:jc w:val="right"/>
              <w:rPr>
                <w:b/>
                <w:bCs/>
                <w:color w:val="auto"/>
                <w:sz w:val="18"/>
                <w:szCs w:val="18"/>
              </w:rPr>
            </w:pPr>
            <w:r>
              <w:rPr>
                <w:b/>
                <w:bCs/>
                <w:color w:val="000000"/>
              </w:rPr>
              <w:t xml:space="preserve">                  98.00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D0985EF" w14:textId="18764822" w:rsidR="00572731" w:rsidRPr="00CE1A25" w:rsidRDefault="00572731" w:rsidP="00572731">
            <w:pPr>
              <w:jc w:val="right"/>
              <w:rPr>
                <w:b/>
                <w:bCs/>
                <w:color w:val="auto"/>
                <w:sz w:val="18"/>
                <w:szCs w:val="18"/>
              </w:rPr>
            </w:pPr>
            <w:r>
              <w:rPr>
                <w:b/>
                <w:bCs/>
                <w:color w:val="000000"/>
              </w:rPr>
              <w:t xml:space="preserve">                  98.00 </w:t>
            </w:r>
          </w:p>
        </w:tc>
      </w:tr>
      <w:tr w:rsidR="00572731" w:rsidRPr="00CE1A25" w14:paraId="10F060E7" w14:textId="77777777" w:rsidTr="00572731">
        <w:trPr>
          <w:trHeight w:val="300"/>
        </w:trPr>
        <w:tc>
          <w:tcPr>
            <w:tcW w:w="4815" w:type="dxa"/>
            <w:shd w:val="clear" w:color="auto" w:fill="D9D9D9" w:themeFill="background1" w:themeFillShade="D9"/>
            <w:noWrap/>
            <w:hideMark/>
          </w:tcPr>
          <w:p w14:paraId="754CE852" w14:textId="77777777" w:rsidR="00572731" w:rsidRPr="00CE1A25" w:rsidRDefault="00572731" w:rsidP="00572731">
            <w:pPr>
              <w:rPr>
                <w:color w:val="auto"/>
                <w:sz w:val="18"/>
                <w:szCs w:val="18"/>
              </w:rPr>
            </w:pPr>
            <w:r w:rsidRPr="00CE1A25">
              <w:rPr>
                <w:color w:val="auto"/>
                <w:sz w:val="18"/>
                <w:szCs w:val="18"/>
              </w:rPr>
              <w:t>Food</w:t>
            </w:r>
          </w:p>
        </w:tc>
        <w:tc>
          <w:tcPr>
            <w:tcW w:w="2283" w:type="dxa"/>
            <w:tcBorders>
              <w:top w:val="single" w:sz="4" w:space="0" w:color="auto"/>
              <w:left w:val="nil"/>
              <w:bottom w:val="single" w:sz="4" w:space="0" w:color="auto"/>
              <w:right w:val="nil"/>
            </w:tcBorders>
            <w:shd w:val="clear" w:color="auto" w:fill="auto"/>
            <w:noWrap/>
            <w:vAlign w:val="bottom"/>
          </w:tcPr>
          <w:p w14:paraId="2279900C" w14:textId="55EE30A0" w:rsidR="00572731" w:rsidRPr="00CE1A25" w:rsidRDefault="00572731" w:rsidP="00572731">
            <w:pPr>
              <w:jc w:val="right"/>
              <w:rPr>
                <w:color w:val="auto"/>
                <w:sz w:val="18"/>
                <w:szCs w:val="18"/>
              </w:rPr>
            </w:pPr>
            <w:r>
              <w:rPr>
                <w:color w:val="000000"/>
              </w:rPr>
              <w:t xml:space="preserve"> 33.74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7DDEC" w14:textId="11244339" w:rsidR="00572731" w:rsidRPr="00CE1A25" w:rsidRDefault="00572731" w:rsidP="00572731">
            <w:pPr>
              <w:jc w:val="right"/>
              <w:rPr>
                <w:color w:val="auto"/>
                <w:sz w:val="18"/>
                <w:szCs w:val="18"/>
              </w:rPr>
            </w:pPr>
            <w:r>
              <w:rPr>
                <w:color w:val="000000"/>
              </w:rPr>
              <w:t xml:space="preserve"> 33.74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9297E19" w14:textId="5302C5D2" w:rsidR="00572731" w:rsidRPr="00CE1A25" w:rsidRDefault="00572731" w:rsidP="00572731">
            <w:pPr>
              <w:jc w:val="right"/>
              <w:rPr>
                <w:color w:val="auto"/>
                <w:sz w:val="18"/>
                <w:szCs w:val="18"/>
              </w:rPr>
            </w:pPr>
            <w:r>
              <w:rPr>
                <w:color w:val="000000"/>
              </w:rPr>
              <w:t xml:space="preserve"> 33.74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7D77D58" w14:textId="429ED308" w:rsidR="00572731" w:rsidRPr="00CE1A25" w:rsidRDefault="00572731" w:rsidP="00572731">
            <w:pPr>
              <w:jc w:val="right"/>
              <w:rPr>
                <w:color w:val="auto"/>
                <w:sz w:val="18"/>
                <w:szCs w:val="18"/>
              </w:rPr>
            </w:pPr>
            <w:r>
              <w:rPr>
                <w:color w:val="000000"/>
              </w:rPr>
              <w:t xml:space="preserve"> 33.74        (34) </w:t>
            </w:r>
          </w:p>
        </w:tc>
      </w:tr>
      <w:tr w:rsidR="00572731" w:rsidRPr="00CE1A25" w14:paraId="685AA9F3" w14:textId="77777777" w:rsidTr="00572731">
        <w:trPr>
          <w:trHeight w:val="300"/>
        </w:trPr>
        <w:tc>
          <w:tcPr>
            <w:tcW w:w="4815" w:type="dxa"/>
            <w:shd w:val="clear" w:color="auto" w:fill="D9D9D9" w:themeFill="background1" w:themeFillShade="D9"/>
            <w:noWrap/>
            <w:hideMark/>
          </w:tcPr>
          <w:p w14:paraId="70C23FC7" w14:textId="77777777" w:rsidR="00572731" w:rsidRPr="00CE1A25" w:rsidRDefault="00572731" w:rsidP="00572731">
            <w:pPr>
              <w:rPr>
                <w:color w:val="auto"/>
                <w:sz w:val="18"/>
                <w:szCs w:val="18"/>
              </w:rPr>
            </w:pPr>
            <w:r w:rsidRPr="00CE1A25">
              <w:rPr>
                <w:color w:val="auto"/>
                <w:sz w:val="18"/>
                <w:szCs w:val="18"/>
              </w:rPr>
              <w:t>Domestic &amp; Cleaning</w:t>
            </w:r>
          </w:p>
        </w:tc>
        <w:tc>
          <w:tcPr>
            <w:tcW w:w="2283" w:type="dxa"/>
            <w:tcBorders>
              <w:top w:val="single" w:sz="4" w:space="0" w:color="auto"/>
              <w:left w:val="nil"/>
              <w:bottom w:val="single" w:sz="4" w:space="0" w:color="auto"/>
              <w:right w:val="nil"/>
            </w:tcBorders>
            <w:shd w:val="clear" w:color="auto" w:fill="auto"/>
            <w:noWrap/>
            <w:vAlign w:val="bottom"/>
          </w:tcPr>
          <w:p w14:paraId="6715A888" w14:textId="0083EF36" w:rsidR="00572731" w:rsidRPr="00CE1A25" w:rsidRDefault="00572731" w:rsidP="00572731">
            <w:pPr>
              <w:jc w:val="right"/>
              <w:rPr>
                <w:color w:val="auto"/>
                <w:sz w:val="18"/>
                <w:szCs w:val="18"/>
              </w:rPr>
            </w:pPr>
            <w:r>
              <w:rPr>
                <w:color w:val="000000"/>
              </w:rPr>
              <w:t xml:space="preserve"> 6.59        (29)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F5155" w14:textId="2908E20A" w:rsidR="00572731" w:rsidRPr="00CE1A25" w:rsidRDefault="00572731" w:rsidP="00572731">
            <w:pPr>
              <w:jc w:val="right"/>
              <w:rPr>
                <w:color w:val="auto"/>
                <w:sz w:val="18"/>
                <w:szCs w:val="18"/>
              </w:rPr>
            </w:pPr>
            <w:r>
              <w:rPr>
                <w:color w:val="000000"/>
              </w:rPr>
              <w:t xml:space="preserve"> 6.59        (29)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C10013F" w14:textId="71B5A4C9" w:rsidR="00572731" w:rsidRPr="00CE1A25" w:rsidRDefault="00572731" w:rsidP="00572731">
            <w:pPr>
              <w:jc w:val="right"/>
              <w:rPr>
                <w:color w:val="auto"/>
                <w:sz w:val="18"/>
                <w:szCs w:val="18"/>
              </w:rPr>
            </w:pPr>
            <w:r>
              <w:rPr>
                <w:color w:val="000000"/>
              </w:rPr>
              <w:t xml:space="preserve"> 6.59        (29)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D0C9FC8" w14:textId="1E16E2F0" w:rsidR="00572731" w:rsidRPr="00CE1A25" w:rsidRDefault="00572731" w:rsidP="00572731">
            <w:pPr>
              <w:jc w:val="right"/>
              <w:rPr>
                <w:color w:val="auto"/>
                <w:sz w:val="18"/>
                <w:szCs w:val="18"/>
              </w:rPr>
            </w:pPr>
            <w:r>
              <w:rPr>
                <w:color w:val="000000"/>
              </w:rPr>
              <w:t xml:space="preserve"> 6.59        (29) </w:t>
            </w:r>
          </w:p>
        </w:tc>
      </w:tr>
      <w:tr w:rsidR="00572731" w:rsidRPr="00CE1A25" w14:paraId="1CD75C39" w14:textId="77777777" w:rsidTr="00572731">
        <w:trPr>
          <w:trHeight w:val="300"/>
        </w:trPr>
        <w:tc>
          <w:tcPr>
            <w:tcW w:w="4815" w:type="dxa"/>
            <w:shd w:val="clear" w:color="auto" w:fill="D9D9D9" w:themeFill="background1" w:themeFillShade="D9"/>
            <w:noWrap/>
            <w:hideMark/>
          </w:tcPr>
          <w:p w14:paraId="7936B780" w14:textId="77777777" w:rsidR="00572731" w:rsidRPr="00CE1A25" w:rsidRDefault="00572731" w:rsidP="00572731">
            <w:pPr>
              <w:rPr>
                <w:color w:val="auto"/>
                <w:sz w:val="18"/>
                <w:szCs w:val="18"/>
              </w:rPr>
            </w:pPr>
            <w:r w:rsidRPr="00CE1A25">
              <w:rPr>
                <w:color w:val="auto"/>
                <w:sz w:val="18"/>
                <w:szCs w:val="18"/>
              </w:rPr>
              <w:t>Medical Supplies</w:t>
            </w:r>
          </w:p>
        </w:tc>
        <w:tc>
          <w:tcPr>
            <w:tcW w:w="2283" w:type="dxa"/>
            <w:tcBorders>
              <w:top w:val="single" w:sz="4" w:space="0" w:color="auto"/>
              <w:left w:val="nil"/>
              <w:bottom w:val="single" w:sz="4" w:space="0" w:color="auto"/>
              <w:right w:val="nil"/>
            </w:tcBorders>
            <w:shd w:val="clear" w:color="auto" w:fill="auto"/>
            <w:noWrap/>
            <w:vAlign w:val="bottom"/>
          </w:tcPr>
          <w:p w14:paraId="432A9CBD" w14:textId="5C22EE6A" w:rsidR="00572731" w:rsidRPr="00CE1A25" w:rsidRDefault="00572731" w:rsidP="00572731">
            <w:pPr>
              <w:jc w:val="right"/>
              <w:rPr>
                <w:color w:val="auto"/>
                <w:sz w:val="18"/>
                <w:szCs w:val="18"/>
              </w:rPr>
            </w:pPr>
            <w:r>
              <w:rPr>
                <w:color w:val="000000"/>
              </w:rPr>
              <w:t xml:space="preserve"> 2.09        (26)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BE696" w14:textId="6D2D7FA3" w:rsidR="00572731" w:rsidRPr="00CE1A25" w:rsidRDefault="00572731" w:rsidP="00572731">
            <w:pPr>
              <w:jc w:val="right"/>
              <w:rPr>
                <w:color w:val="auto"/>
                <w:sz w:val="18"/>
                <w:szCs w:val="18"/>
              </w:rPr>
            </w:pPr>
            <w:r>
              <w:rPr>
                <w:color w:val="000000"/>
              </w:rPr>
              <w:t xml:space="preserve"> 2.09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D59DFDC" w14:textId="14D83C36" w:rsidR="00572731" w:rsidRPr="00CE1A25" w:rsidRDefault="00572731" w:rsidP="00572731">
            <w:pPr>
              <w:jc w:val="right"/>
              <w:rPr>
                <w:color w:val="auto"/>
                <w:sz w:val="18"/>
                <w:szCs w:val="18"/>
              </w:rPr>
            </w:pPr>
            <w:r>
              <w:rPr>
                <w:color w:val="000000"/>
              </w:rPr>
              <w:t xml:space="preserve"> 2.09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BEDCCD1" w14:textId="4C8E7401" w:rsidR="00572731" w:rsidRPr="00CE1A25" w:rsidRDefault="00572731" w:rsidP="00572731">
            <w:pPr>
              <w:jc w:val="right"/>
              <w:rPr>
                <w:color w:val="auto"/>
                <w:sz w:val="18"/>
                <w:szCs w:val="18"/>
              </w:rPr>
            </w:pPr>
            <w:r>
              <w:rPr>
                <w:color w:val="000000"/>
              </w:rPr>
              <w:t xml:space="preserve"> 2.09        (26) </w:t>
            </w:r>
          </w:p>
        </w:tc>
      </w:tr>
      <w:tr w:rsidR="00572731" w:rsidRPr="00CE1A25" w14:paraId="211D348E" w14:textId="77777777" w:rsidTr="00572731">
        <w:trPr>
          <w:trHeight w:val="300"/>
        </w:trPr>
        <w:tc>
          <w:tcPr>
            <w:tcW w:w="4815" w:type="dxa"/>
            <w:shd w:val="clear" w:color="auto" w:fill="D9D9D9" w:themeFill="background1" w:themeFillShade="D9"/>
            <w:noWrap/>
            <w:hideMark/>
          </w:tcPr>
          <w:p w14:paraId="0CF9B893" w14:textId="77777777" w:rsidR="00572731" w:rsidRPr="00CE1A25" w:rsidRDefault="00572731" w:rsidP="00572731">
            <w:pPr>
              <w:rPr>
                <w:color w:val="auto"/>
                <w:sz w:val="18"/>
                <w:szCs w:val="18"/>
              </w:rPr>
            </w:pPr>
            <w:r w:rsidRPr="00CE1A25">
              <w:rPr>
                <w:color w:val="auto"/>
                <w:sz w:val="18"/>
                <w:szCs w:val="18"/>
              </w:rPr>
              <w:t>PPE</w:t>
            </w:r>
          </w:p>
        </w:tc>
        <w:tc>
          <w:tcPr>
            <w:tcW w:w="2283" w:type="dxa"/>
            <w:tcBorders>
              <w:top w:val="single" w:sz="4" w:space="0" w:color="auto"/>
              <w:left w:val="nil"/>
              <w:bottom w:val="single" w:sz="4" w:space="0" w:color="auto"/>
              <w:right w:val="nil"/>
            </w:tcBorders>
            <w:shd w:val="clear" w:color="auto" w:fill="auto"/>
            <w:noWrap/>
            <w:vAlign w:val="bottom"/>
          </w:tcPr>
          <w:p w14:paraId="632A85EA" w14:textId="31058828" w:rsidR="00572731" w:rsidRPr="00CE1A25" w:rsidRDefault="00572731" w:rsidP="00572731">
            <w:pPr>
              <w:jc w:val="right"/>
              <w:rPr>
                <w:color w:val="auto"/>
                <w:sz w:val="18"/>
                <w:szCs w:val="18"/>
              </w:rPr>
            </w:pPr>
            <w:r>
              <w:rPr>
                <w:color w:val="000000"/>
              </w:rPr>
              <w:t xml:space="preserve"> 3.1        (15)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049C8" w14:textId="47CBEDCC" w:rsidR="00572731" w:rsidRPr="00CE1A25" w:rsidRDefault="00572731" w:rsidP="00572731">
            <w:pPr>
              <w:jc w:val="right"/>
              <w:rPr>
                <w:color w:val="auto"/>
                <w:sz w:val="18"/>
                <w:szCs w:val="18"/>
              </w:rPr>
            </w:pPr>
            <w:r>
              <w:rPr>
                <w:color w:val="000000"/>
              </w:rPr>
              <w:t xml:space="preserve"> 3.1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5FB6D74" w14:textId="2A03A611" w:rsidR="00572731" w:rsidRPr="00CE1A25" w:rsidRDefault="00572731" w:rsidP="00572731">
            <w:pPr>
              <w:jc w:val="right"/>
              <w:rPr>
                <w:color w:val="auto"/>
                <w:sz w:val="18"/>
                <w:szCs w:val="18"/>
              </w:rPr>
            </w:pPr>
            <w:r>
              <w:rPr>
                <w:color w:val="000000"/>
              </w:rPr>
              <w:t xml:space="preserve"> 3.1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9A2AEEA" w14:textId="3D85F98B" w:rsidR="00572731" w:rsidRPr="00CE1A25" w:rsidRDefault="00572731" w:rsidP="00572731">
            <w:pPr>
              <w:jc w:val="right"/>
              <w:rPr>
                <w:color w:val="auto"/>
                <w:sz w:val="18"/>
                <w:szCs w:val="18"/>
              </w:rPr>
            </w:pPr>
            <w:r>
              <w:rPr>
                <w:color w:val="000000"/>
              </w:rPr>
              <w:t xml:space="preserve"> 3.1        (15) </w:t>
            </w:r>
          </w:p>
        </w:tc>
      </w:tr>
      <w:tr w:rsidR="00572731" w:rsidRPr="00CE1A25" w14:paraId="0169F610" w14:textId="77777777" w:rsidTr="00572731">
        <w:trPr>
          <w:trHeight w:val="300"/>
        </w:trPr>
        <w:tc>
          <w:tcPr>
            <w:tcW w:w="4815" w:type="dxa"/>
            <w:shd w:val="clear" w:color="auto" w:fill="D9D9D9" w:themeFill="background1" w:themeFillShade="D9"/>
            <w:noWrap/>
            <w:hideMark/>
          </w:tcPr>
          <w:p w14:paraId="7875F47D" w14:textId="77777777" w:rsidR="00572731" w:rsidRPr="00CE1A25" w:rsidRDefault="00572731" w:rsidP="00572731">
            <w:pPr>
              <w:rPr>
                <w:color w:val="auto"/>
                <w:sz w:val="18"/>
                <w:szCs w:val="18"/>
              </w:rPr>
            </w:pPr>
            <w:r w:rsidRPr="00CE1A25">
              <w:rPr>
                <w:color w:val="auto"/>
                <w:sz w:val="18"/>
                <w:szCs w:val="18"/>
              </w:rPr>
              <w:t>Office Supplies</w:t>
            </w:r>
          </w:p>
        </w:tc>
        <w:tc>
          <w:tcPr>
            <w:tcW w:w="2283" w:type="dxa"/>
            <w:tcBorders>
              <w:top w:val="single" w:sz="4" w:space="0" w:color="auto"/>
              <w:left w:val="nil"/>
              <w:bottom w:val="single" w:sz="4" w:space="0" w:color="auto"/>
              <w:right w:val="nil"/>
            </w:tcBorders>
            <w:shd w:val="clear" w:color="auto" w:fill="auto"/>
            <w:noWrap/>
            <w:vAlign w:val="bottom"/>
          </w:tcPr>
          <w:p w14:paraId="6031557F" w14:textId="75771D2B" w:rsidR="00572731" w:rsidRPr="00CE1A25" w:rsidRDefault="00572731" w:rsidP="00572731">
            <w:pPr>
              <w:jc w:val="right"/>
              <w:rPr>
                <w:color w:val="auto"/>
                <w:sz w:val="18"/>
                <w:szCs w:val="18"/>
              </w:rPr>
            </w:pPr>
            <w:r>
              <w:rPr>
                <w:color w:val="000000"/>
              </w:rPr>
              <w:t xml:space="preserve"> 1.91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9CD2A" w14:textId="2075D379" w:rsidR="00572731" w:rsidRPr="00CE1A25" w:rsidRDefault="00572731" w:rsidP="00572731">
            <w:pPr>
              <w:jc w:val="right"/>
              <w:rPr>
                <w:color w:val="auto"/>
                <w:sz w:val="18"/>
                <w:szCs w:val="18"/>
              </w:rPr>
            </w:pPr>
            <w:r>
              <w:rPr>
                <w:color w:val="000000"/>
              </w:rPr>
              <w:t xml:space="preserve"> 1.91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030B0E8" w14:textId="713DE8B7" w:rsidR="00572731" w:rsidRPr="00CE1A25" w:rsidRDefault="00572731" w:rsidP="00572731">
            <w:pPr>
              <w:jc w:val="right"/>
              <w:rPr>
                <w:color w:val="auto"/>
                <w:sz w:val="18"/>
                <w:szCs w:val="18"/>
              </w:rPr>
            </w:pPr>
            <w:r>
              <w:rPr>
                <w:color w:val="000000"/>
              </w:rPr>
              <w:t xml:space="preserve"> 1.91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6FF764B" w14:textId="2CC1C658" w:rsidR="00572731" w:rsidRPr="00CE1A25" w:rsidRDefault="00572731" w:rsidP="00572731">
            <w:pPr>
              <w:jc w:val="right"/>
              <w:rPr>
                <w:color w:val="auto"/>
                <w:sz w:val="18"/>
                <w:szCs w:val="18"/>
              </w:rPr>
            </w:pPr>
            <w:r>
              <w:rPr>
                <w:color w:val="000000"/>
              </w:rPr>
              <w:t xml:space="preserve"> 1.91        (34) </w:t>
            </w:r>
          </w:p>
        </w:tc>
      </w:tr>
      <w:tr w:rsidR="00572731" w:rsidRPr="00CE1A25" w14:paraId="7B65886C" w14:textId="77777777" w:rsidTr="00572731">
        <w:trPr>
          <w:trHeight w:val="300"/>
        </w:trPr>
        <w:tc>
          <w:tcPr>
            <w:tcW w:w="4815" w:type="dxa"/>
            <w:shd w:val="clear" w:color="auto" w:fill="D9D9D9" w:themeFill="background1" w:themeFillShade="D9"/>
            <w:noWrap/>
            <w:hideMark/>
          </w:tcPr>
          <w:p w14:paraId="59117CFB" w14:textId="77777777" w:rsidR="00572731" w:rsidRPr="00CE1A25" w:rsidRDefault="00572731" w:rsidP="00572731">
            <w:pPr>
              <w:rPr>
                <w:color w:val="auto"/>
                <w:sz w:val="18"/>
                <w:szCs w:val="18"/>
              </w:rPr>
            </w:pPr>
            <w:r w:rsidRPr="00CE1A25">
              <w:rPr>
                <w:color w:val="auto"/>
                <w:sz w:val="18"/>
                <w:szCs w:val="18"/>
              </w:rPr>
              <w:t>Insurance</w:t>
            </w:r>
          </w:p>
        </w:tc>
        <w:tc>
          <w:tcPr>
            <w:tcW w:w="2283" w:type="dxa"/>
            <w:tcBorders>
              <w:top w:val="single" w:sz="4" w:space="0" w:color="auto"/>
              <w:left w:val="nil"/>
              <w:bottom w:val="single" w:sz="4" w:space="0" w:color="auto"/>
              <w:right w:val="nil"/>
            </w:tcBorders>
            <w:shd w:val="clear" w:color="auto" w:fill="auto"/>
            <w:noWrap/>
            <w:vAlign w:val="bottom"/>
          </w:tcPr>
          <w:p w14:paraId="0EF499BB" w14:textId="3A3900B0" w:rsidR="00572731" w:rsidRPr="00CE1A25" w:rsidRDefault="00572731" w:rsidP="00572731">
            <w:pPr>
              <w:jc w:val="right"/>
              <w:rPr>
                <w:color w:val="auto"/>
                <w:sz w:val="18"/>
                <w:szCs w:val="18"/>
              </w:rPr>
            </w:pPr>
            <w:r>
              <w:rPr>
                <w:color w:val="000000"/>
              </w:rPr>
              <w:t xml:space="preserve"> 6.47        (30)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A5321" w14:textId="15E9613F" w:rsidR="00572731" w:rsidRPr="00CE1A25" w:rsidRDefault="00572731" w:rsidP="00572731">
            <w:pPr>
              <w:jc w:val="right"/>
              <w:rPr>
                <w:color w:val="auto"/>
                <w:sz w:val="18"/>
                <w:szCs w:val="18"/>
              </w:rPr>
            </w:pPr>
            <w:r>
              <w:rPr>
                <w:color w:val="000000"/>
              </w:rPr>
              <w:t xml:space="preserve"> 6.47        (30)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F13FBAA" w14:textId="1A8EC783" w:rsidR="00572731" w:rsidRPr="00CE1A25" w:rsidRDefault="00572731" w:rsidP="00572731">
            <w:pPr>
              <w:jc w:val="right"/>
              <w:rPr>
                <w:color w:val="auto"/>
                <w:sz w:val="18"/>
                <w:szCs w:val="18"/>
              </w:rPr>
            </w:pPr>
            <w:r>
              <w:rPr>
                <w:color w:val="000000"/>
              </w:rPr>
              <w:t xml:space="preserve"> 6.47        (30)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CAAB16D" w14:textId="015CDC3A" w:rsidR="00572731" w:rsidRPr="00CE1A25" w:rsidRDefault="00572731" w:rsidP="00572731">
            <w:pPr>
              <w:jc w:val="right"/>
              <w:rPr>
                <w:color w:val="auto"/>
                <w:sz w:val="18"/>
                <w:szCs w:val="18"/>
              </w:rPr>
            </w:pPr>
            <w:r>
              <w:rPr>
                <w:color w:val="000000"/>
              </w:rPr>
              <w:t xml:space="preserve"> 6.47        (30) </w:t>
            </w:r>
          </w:p>
        </w:tc>
      </w:tr>
      <w:tr w:rsidR="00572731" w:rsidRPr="00CE1A25" w14:paraId="2D7AE4CA" w14:textId="77777777" w:rsidTr="00572731">
        <w:trPr>
          <w:trHeight w:val="300"/>
        </w:trPr>
        <w:tc>
          <w:tcPr>
            <w:tcW w:w="4815" w:type="dxa"/>
            <w:shd w:val="clear" w:color="auto" w:fill="D9D9D9" w:themeFill="background1" w:themeFillShade="D9"/>
            <w:noWrap/>
            <w:hideMark/>
          </w:tcPr>
          <w:p w14:paraId="012F91AC" w14:textId="77777777" w:rsidR="00572731" w:rsidRPr="00CE1A25" w:rsidRDefault="00572731" w:rsidP="00572731">
            <w:pPr>
              <w:rPr>
                <w:color w:val="auto"/>
                <w:sz w:val="18"/>
                <w:szCs w:val="18"/>
              </w:rPr>
            </w:pPr>
            <w:r w:rsidRPr="00CE1A25">
              <w:rPr>
                <w:color w:val="auto"/>
                <w:sz w:val="18"/>
                <w:szCs w:val="18"/>
              </w:rPr>
              <w:t>Registration Fees</w:t>
            </w:r>
          </w:p>
        </w:tc>
        <w:tc>
          <w:tcPr>
            <w:tcW w:w="2283" w:type="dxa"/>
            <w:tcBorders>
              <w:top w:val="single" w:sz="4" w:space="0" w:color="auto"/>
              <w:left w:val="nil"/>
              <w:bottom w:val="single" w:sz="4" w:space="0" w:color="auto"/>
              <w:right w:val="nil"/>
            </w:tcBorders>
            <w:shd w:val="clear" w:color="auto" w:fill="auto"/>
            <w:noWrap/>
            <w:vAlign w:val="bottom"/>
          </w:tcPr>
          <w:p w14:paraId="18F41F78" w14:textId="636FD864" w:rsidR="00572731" w:rsidRPr="00CE1A25" w:rsidRDefault="00572731" w:rsidP="00572731">
            <w:pPr>
              <w:jc w:val="right"/>
              <w:rPr>
                <w:color w:val="auto"/>
                <w:sz w:val="18"/>
                <w:szCs w:val="18"/>
              </w:rPr>
            </w:pPr>
            <w:r>
              <w:rPr>
                <w:color w:val="000000"/>
              </w:rPr>
              <w:t xml:space="preserve"> 3.74        (28)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809F8" w14:textId="681F0109" w:rsidR="00572731" w:rsidRPr="00CE1A25" w:rsidRDefault="00572731" w:rsidP="00572731">
            <w:pPr>
              <w:jc w:val="right"/>
              <w:rPr>
                <w:color w:val="auto"/>
                <w:sz w:val="18"/>
                <w:szCs w:val="18"/>
              </w:rPr>
            </w:pPr>
            <w:r>
              <w:rPr>
                <w:color w:val="000000"/>
              </w:rPr>
              <w:t xml:space="preserve"> 3.74        (28)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A537074" w14:textId="6F5EA2A4" w:rsidR="00572731" w:rsidRPr="00CE1A25" w:rsidRDefault="00572731" w:rsidP="00572731">
            <w:pPr>
              <w:jc w:val="right"/>
              <w:rPr>
                <w:color w:val="auto"/>
                <w:sz w:val="18"/>
                <w:szCs w:val="18"/>
              </w:rPr>
            </w:pPr>
            <w:r>
              <w:rPr>
                <w:color w:val="000000"/>
              </w:rPr>
              <w:t xml:space="preserve"> 3.74        (28)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E0E1650" w14:textId="36D29744" w:rsidR="00572731" w:rsidRPr="00CE1A25" w:rsidRDefault="00572731" w:rsidP="00572731">
            <w:pPr>
              <w:jc w:val="right"/>
              <w:rPr>
                <w:color w:val="auto"/>
                <w:sz w:val="18"/>
                <w:szCs w:val="18"/>
              </w:rPr>
            </w:pPr>
            <w:r>
              <w:rPr>
                <w:color w:val="000000"/>
              </w:rPr>
              <w:t xml:space="preserve"> 3.74        (28) </w:t>
            </w:r>
          </w:p>
        </w:tc>
      </w:tr>
      <w:tr w:rsidR="00572731" w:rsidRPr="00CE1A25" w14:paraId="4F65E674" w14:textId="77777777" w:rsidTr="00572731">
        <w:trPr>
          <w:trHeight w:val="300"/>
        </w:trPr>
        <w:tc>
          <w:tcPr>
            <w:tcW w:w="4815" w:type="dxa"/>
            <w:shd w:val="clear" w:color="auto" w:fill="D9D9D9" w:themeFill="background1" w:themeFillShade="D9"/>
            <w:noWrap/>
            <w:hideMark/>
          </w:tcPr>
          <w:p w14:paraId="5EA7D83F" w14:textId="77777777" w:rsidR="00572731" w:rsidRPr="00CE1A25" w:rsidRDefault="00572731" w:rsidP="00572731">
            <w:pPr>
              <w:rPr>
                <w:color w:val="auto"/>
                <w:sz w:val="18"/>
                <w:szCs w:val="18"/>
              </w:rPr>
            </w:pPr>
            <w:r w:rsidRPr="00CE1A25">
              <w:rPr>
                <w:color w:val="auto"/>
                <w:sz w:val="18"/>
                <w:szCs w:val="18"/>
              </w:rPr>
              <w:t>Telephone &amp; Internet</w:t>
            </w:r>
          </w:p>
        </w:tc>
        <w:tc>
          <w:tcPr>
            <w:tcW w:w="2283" w:type="dxa"/>
            <w:tcBorders>
              <w:top w:val="single" w:sz="4" w:space="0" w:color="auto"/>
              <w:left w:val="nil"/>
              <w:bottom w:val="single" w:sz="4" w:space="0" w:color="auto"/>
              <w:right w:val="nil"/>
            </w:tcBorders>
            <w:shd w:val="clear" w:color="auto" w:fill="auto"/>
            <w:noWrap/>
            <w:vAlign w:val="bottom"/>
          </w:tcPr>
          <w:p w14:paraId="681FD1EF" w14:textId="0A968545" w:rsidR="00572731" w:rsidRPr="00CE1A25" w:rsidRDefault="00572731" w:rsidP="00572731">
            <w:pPr>
              <w:jc w:val="right"/>
              <w:rPr>
                <w:color w:val="auto"/>
                <w:sz w:val="18"/>
                <w:szCs w:val="18"/>
              </w:rPr>
            </w:pPr>
            <w:r>
              <w:rPr>
                <w:color w:val="000000"/>
              </w:rPr>
              <w:t xml:space="preserve"> 2.47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5B0FE" w14:textId="079E2938" w:rsidR="00572731" w:rsidRPr="00CE1A25" w:rsidRDefault="00572731" w:rsidP="00572731">
            <w:pPr>
              <w:jc w:val="right"/>
              <w:rPr>
                <w:color w:val="auto"/>
                <w:sz w:val="18"/>
                <w:szCs w:val="18"/>
              </w:rPr>
            </w:pPr>
            <w:r>
              <w:rPr>
                <w:color w:val="000000"/>
              </w:rPr>
              <w:t xml:space="preserve"> 2.47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623BAB7" w14:textId="679F0DE2" w:rsidR="00572731" w:rsidRPr="00CE1A25" w:rsidRDefault="00572731" w:rsidP="00572731">
            <w:pPr>
              <w:jc w:val="right"/>
              <w:rPr>
                <w:color w:val="auto"/>
                <w:sz w:val="18"/>
                <w:szCs w:val="18"/>
              </w:rPr>
            </w:pPr>
            <w:r>
              <w:rPr>
                <w:color w:val="000000"/>
              </w:rPr>
              <w:t xml:space="preserve"> 2.47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3BEF266" w14:textId="6AC14630" w:rsidR="00572731" w:rsidRPr="00CE1A25" w:rsidRDefault="00572731" w:rsidP="00572731">
            <w:pPr>
              <w:jc w:val="right"/>
              <w:rPr>
                <w:color w:val="auto"/>
                <w:sz w:val="18"/>
                <w:szCs w:val="18"/>
              </w:rPr>
            </w:pPr>
            <w:r>
              <w:rPr>
                <w:color w:val="000000"/>
              </w:rPr>
              <w:t xml:space="preserve"> 2.47        (36) </w:t>
            </w:r>
          </w:p>
        </w:tc>
      </w:tr>
      <w:tr w:rsidR="00572731" w:rsidRPr="00CE1A25" w14:paraId="61A84B5F" w14:textId="77777777" w:rsidTr="00572731">
        <w:trPr>
          <w:trHeight w:val="300"/>
        </w:trPr>
        <w:tc>
          <w:tcPr>
            <w:tcW w:w="4815" w:type="dxa"/>
            <w:shd w:val="clear" w:color="auto" w:fill="D9D9D9" w:themeFill="background1" w:themeFillShade="D9"/>
            <w:noWrap/>
            <w:hideMark/>
          </w:tcPr>
          <w:p w14:paraId="1346E136" w14:textId="77777777" w:rsidR="00572731" w:rsidRPr="00CE1A25" w:rsidRDefault="00572731" w:rsidP="00572731">
            <w:pPr>
              <w:rPr>
                <w:color w:val="auto"/>
                <w:sz w:val="18"/>
                <w:szCs w:val="18"/>
              </w:rPr>
            </w:pPr>
            <w:r w:rsidRPr="00CE1A25">
              <w:rPr>
                <w:color w:val="auto"/>
                <w:sz w:val="18"/>
                <w:szCs w:val="18"/>
              </w:rPr>
              <w:t>Council Tax / rates</w:t>
            </w:r>
          </w:p>
        </w:tc>
        <w:tc>
          <w:tcPr>
            <w:tcW w:w="2283" w:type="dxa"/>
            <w:tcBorders>
              <w:top w:val="single" w:sz="4" w:space="0" w:color="auto"/>
              <w:left w:val="nil"/>
              <w:bottom w:val="single" w:sz="4" w:space="0" w:color="auto"/>
              <w:right w:val="nil"/>
            </w:tcBorders>
            <w:shd w:val="clear" w:color="auto" w:fill="auto"/>
            <w:noWrap/>
            <w:vAlign w:val="bottom"/>
          </w:tcPr>
          <w:p w14:paraId="213A8BC4" w14:textId="2AF8E1BB" w:rsidR="00572731" w:rsidRPr="00CE1A25" w:rsidRDefault="00572731" w:rsidP="00572731">
            <w:pPr>
              <w:jc w:val="right"/>
              <w:rPr>
                <w:color w:val="auto"/>
                <w:sz w:val="18"/>
                <w:szCs w:val="18"/>
              </w:rPr>
            </w:pPr>
            <w:r>
              <w:rPr>
                <w:color w:val="000000"/>
              </w:rPr>
              <w:t xml:space="preserve"> 0.8        (32)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0AC0D" w14:textId="5FC0C1DB" w:rsidR="00572731" w:rsidRPr="00CE1A25" w:rsidRDefault="00572731" w:rsidP="00572731">
            <w:pPr>
              <w:jc w:val="right"/>
              <w:rPr>
                <w:color w:val="auto"/>
                <w:sz w:val="18"/>
                <w:szCs w:val="18"/>
              </w:rPr>
            </w:pPr>
            <w:r>
              <w:rPr>
                <w:color w:val="000000"/>
              </w:rPr>
              <w:t xml:space="preserve"> 0.8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0A5645C" w14:textId="4208B344" w:rsidR="00572731" w:rsidRPr="00CE1A25" w:rsidRDefault="00572731" w:rsidP="00572731">
            <w:pPr>
              <w:jc w:val="right"/>
              <w:rPr>
                <w:color w:val="auto"/>
                <w:sz w:val="18"/>
                <w:szCs w:val="18"/>
              </w:rPr>
            </w:pPr>
            <w:r>
              <w:rPr>
                <w:color w:val="000000"/>
              </w:rPr>
              <w:t xml:space="preserve"> 0.8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407FE02" w14:textId="2D76DB79" w:rsidR="00572731" w:rsidRPr="00CE1A25" w:rsidRDefault="00572731" w:rsidP="00572731">
            <w:pPr>
              <w:jc w:val="right"/>
              <w:rPr>
                <w:color w:val="auto"/>
                <w:sz w:val="18"/>
                <w:szCs w:val="18"/>
              </w:rPr>
            </w:pPr>
            <w:r>
              <w:rPr>
                <w:color w:val="000000"/>
              </w:rPr>
              <w:t xml:space="preserve"> 0.8        (32) </w:t>
            </w:r>
          </w:p>
        </w:tc>
      </w:tr>
      <w:tr w:rsidR="00572731" w:rsidRPr="00CE1A25" w14:paraId="03E7EDFC" w14:textId="77777777" w:rsidTr="00572731">
        <w:trPr>
          <w:trHeight w:val="300"/>
        </w:trPr>
        <w:tc>
          <w:tcPr>
            <w:tcW w:w="4815" w:type="dxa"/>
            <w:shd w:val="clear" w:color="auto" w:fill="D9D9D9" w:themeFill="background1" w:themeFillShade="D9"/>
            <w:noWrap/>
            <w:hideMark/>
          </w:tcPr>
          <w:p w14:paraId="106061A4" w14:textId="77777777" w:rsidR="00572731" w:rsidRPr="00CE1A25" w:rsidRDefault="00572731" w:rsidP="00572731">
            <w:pPr>
              <w:rPr>
                <w:color w:val="auto"/>
                <w:sz w:val="18"/>
                <w:szCs w:val="18"/>
              </w:rPr>
            </w:pPr>
            <w:r w:rsidRPr="00CE1A25">
              <w:rPr>
                <w:color w:val="auto"/>
                <w:sz w:val="18"/>
                <w:szCs w:val="18"/>
              </w:rPr>
              <w:t>Electricity, Gas &amp; Water</w:t>
            </w:r>
          </w:p>
        </w:tc>
        <w:tc>
          <w:tcPr>
            <w:tcW w:w="2283" w:type="dxa"/>
            <w:tcBorders>
              <w:top w:val="single" w:sz="4" w:space="0" w:color="auto"/>
              <w:left w:val="nil"/>
              <w:bottom w:val="single" w:sz="4" w:space="0" w:color="auto"/>
              <w:right w:val="nil"/>
            </w:tcBorders>
            <w:shd w:val="clear" w:color="auto" w:fill="auto"/>
            <w:noWrap/>
            <w:vAlign w:val="bottom"/>
          </w:tcPr>
          <w:p w14:paraId="5C8E9A28" w14:textId="6428975E" w:rsidR="00572731" w:rsidRPr="00CE1A25" w:rsidRDefault="00572731" w:rsidP="00572731">
            <w:pPr>
              <w:jc w:val="right"/>
              <w:rPr>
                <w:color w:val="auto"/>
                <w:sz w:val="18"/>
                <w:szCs w:val="18"/>
              </w:rPr>
            </w:pPr>
            <w:r>
              <w:rPr>
                <w:color w:val="000000"/>
              </w:rPr>
              <w:t xml:space="preserve"> 28.19        (33)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CD89B" w14:textId="3B3EB602" w:rsidR="00572731" w:rsidRPr="00CE1A25" w:rsidRDefault="00572731" w:rsidP="00572731">
            <w:pPr>
              <w:jc w:val="right"/>
              <w:rPr>
                <w:color w:val="auto"/>
                <w:sz w:val="18"/>
                <w:szCs w:val="18"/>
              </w:rPr>
            </w:pPr>
            <w:r>
              <w:rPr>
                <w:color w:val="000000"/>
              </w:rPr>
              <w:t xml:space="preserve"> 28.19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8CE979D" w14:textId="7DD4B896" w:rsidR="00572731" w:rsidRPr="00CE1A25" w:rsidRDefault="00572731" w:rsidP="00572731">
            <w:pPr>
              <w:jc w:val="right"/>
              <w:rPr>
                <w:color w:val="auto"/>
                <w:sz w:val="18"/>
                <w:szCs w:val="18"/>
              </w:rPr>
            </w:pPr>
            <w:r>
              <w:rPr>
                <w:color w:val="000000"/>
              </w:rPr>
              <w:t xml:space="preserve"> 28.19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89B2BB1" w14:textId="5868666A" w:rsidR="00572731" w:rsidRPr="00CE1A25" w:rsidRDefault="00572731" w:rsidP="00572731">
            <w:pPr>
              <w:jc w:val="right"/>
              <w:rPr>
                <w:color w:val="auto"/>
                <w:sz w:val="18"/>
                <w:szCs w:val="18"/>
              </w:rPr>
            </w:pPr>
            <w:r>
              <w:rPr>
                <w:color w:val="000000"/>
              </w:rPr>
              <w:t xml:space="preserve"> 28.19        (33) </w:t>
            </w:r>
          </w:p>
        </w:tc>
      </w:tr>
      <w:tr w:rsidR="00572731" w:rsidRPr="00CE1A25" w14:paraId="30EC4F64" w14:textId="77777777" w:rsidTr="00572731">
        <w:trPr>
          <w:trHeight w:val="300"/>
        </w:trPr>
        <w:tc>
          <w:tcPr>
            <w:tcW w:w="4815" w:type="dxa"/>
            <w:shd w:val="clear" w:color="auto" w:fill="D9D9D9" w:themeFill="background1" w:themeFillShade="D9"/>
            <w:noWrap/>
            <w:hideMark/>
          </w:tcPr>
          <w:p w14:paraId="73A1975D" w14:textId="77777777" w:rsidR="00572731" w:rsidRPr="00CE1A25" w:rsidRDefault="00572731" w:rsidP="00572731">
            <w:pPr>
              <w:rPr>
                <w:color w:val="auto"/>
                <w:sz w:val="18"/>
                <w:szCs w:val="18"/>
              </w:rPr>
            </w:pPr>
            <w:r w:rsidRPr="00CE1A25">
              <w:rPr>
                <w:color w:val="auto"/>
                <w:sz w:val="18"/>
                <w:szCs w:val="18"/>
              </w:rPr>
              <w:t>Trade and Clinical Waste</w:t>
            </w:r>
          </w:p>
        </w:tc>
        <w:tc>
          <w:tcPr>
            <w:tcW w:w="2283" w:type="dxa"/>
            <w:tcBorders>
              <w:top w:val="single" w:sz="4" w:space="0" w:color="auto"/>
              <w:left w:val="nil"/>
              <w:bottom w:val="single" w:sz="4" w:space="0" w:color="auto"/>
              <w:right w:val="nil"/>
            </w:tcBorders>
            <w:shd w:val="clear" w:color="auto" w:fill="auto"/>
            <w:noWrap/>
            <w:vAlign w:val="bottom"/>
          </w:tcPr>
          <w:p w14:paraId="1938BB2E" w14:textId="503FA3ED" w:rsidR="00572731" w:rsidRPr="00CE1A25" w:rsidRDefault="00572731" w:rsidP="00572731">
            <w:pPr>
              <w:jc w:val="right"/>
              <w:rPr>
                <w:color w:val="auto"/>
                <w:sz w:val="18"/>
                <w:szCs w:val="18"/>
              </w:rPr>
            </w:pPr>
            <w:r>
              <w:rPr>
                <w:color w:val="000000"/>
              </w:rPr>
              <w:t xml:space="preserve"> 4.16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198DF" w14:textId="438570DE" w:rsidR="00572731" w:rsidRPr="00CE1A25" w:rsidRDefault="00572731" w:rsidP="00572731">
            <w:pPr>
              <w:jc w:val="right"/>
              <w:rPr>
                <w:color w:val="auto"/>
                <w:sz w:val="18"/>
                <w:szCs w:val="18"/>
              </w:rPr>
            </w:pPr>
            <w:r>
              <w:rPr>
                <w:color w:val="000000"/>
              </w:rPr>
              <w:t xml:space="preserve"> 4.16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1026F97" w14:textId="6C9DEE00" w:rsidR="00572731" w:rsidRPr="00CE1A25" w:rsidRDefault="00572731" w:rsidP="00572731">
            <w:pPr>
              <w:jc w:val="right"/>
              <w:rPr>
                <w:color w:val="auto"/>
                <w:sz w:val="18"/>
                <w:szCs w:val="18"/>
              </w:rPr>
            </w:pPr>
            <w:r>
              <w:rPr>
                <w:color w:val="000000"/>
              </w:rPr>
              <w:t xml:space="preserve"> 4.16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57FBFC3" w14:textId="4C86DD0A" w:rsidR="00572731" w:rsidRPr="00CE1A25" w:rsidRDefault="00572731" w:rsidP="00572731">
            <w:pPr>
              <w:jc w:val="right"/>
              <w:rPr>
                <w:color w:val="auto"/>
                <w:sz w:val="18"/>
                <w:szCs w:val="18"/>
              </w:rPr>
            </w:pPr>
            <w:r>
              <w:rPr>
                <w:color w:val="000000"/>
              </w:rPr>
              <w:t xml:space="preserve"> 4.16        (34) </w:t>
            </w:r>
          </w:p>
        </w:tc>
      </w:tr>
      <w:tr w:rsidR="00572731" w:rsidRPr="00CE1A25" w14:paraId="361AF7B7" w14:textId="77777777" w:rsidTr="00572731">
        <w:trPr>
          <w:trHeight w:val="300"/>
        </w:trPr>
        <w:tc>
          <w:tcPr>
            <w:tcW w:w="4815" w:type="dxa"/>
            <w:shd w:val="clear" w:color="auto" w:fill="D9D9D9" w:themeFill="background1" w:themeFillShade="D9"/>
            <w:noWrap/>
            <w:hideMark/>
          </w:tcPr>
          <w:p w14:paraId="74AE87F7" w14:textId="77777777" w:rsidR="00572731" w:rsidRPr="00CE1A25" w:rsidRDefault="00572731" w:rsidP="00572731">
            <w:pPr>
              <w:rPr>
                <w:color w:val="auto"/>
                <w:sz w:val="18"/>
                <w:szCs w:val="18"/>
              </w:rPr>
            </w:pPr>
            <w:r w:rsidRPr="00CE1A25">
              <w:rPr>
                <w:color w:val="auto"/>
                <w:sz w:val="18"/>
                <w:szCs w:val="18"/>
              </w:rPr>
              <w:t>Transport &amp; Activities</w:t>
            </w:r>
          </w:p>
        </w:tc>
        <w:tc>
          <w:tcPr>
            <w:tcW w:w="2283" w:type="dxa"/>
            <w:tcBorders>
              <w:top w:val="single" w:sz="4" w:space="0" w:color="auto"/>
              <w:left w:val="nil"/>
              <w:bottom w:val="single" w:sz="4" w:space="0" w:color="auto"/>
              <w:right w:val="nil"/>
            </w:tcBorders>
            <w:shd w:val="clear" w:color="auto" w:fill="auto"/>
            <w:noWrap/>
            <w:vAlign w:val="bottom"/>
          </w:tcPr>
          <w:p w14:paraId="66A30A5C" w14:textId="191F5594" w:rsidR="00572731" w:rsidRPr="00CE1A25" w:rsidRDefault="00572731" w:rsidP="00572731">
            <w:pPr>
              <w:jc w:val="right"/>
              <w:rPr>
                <w:color w:val="auto"/>
                <w:sz w:val="18"/>
                <w:szCs w:val="18"/>
              </w:rPr>
            </w:pPr>
            <w:r>
              <w:rPr>
                <w:color w:val="000000"/>
              </w:rPr>
              <w:t xml:space="preserve"> 2.02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1608A" w14:textId="6985A193" w:rsidR="00572731" w:rsidRPr="00CE1A25" w:rsidRDefault="00572731" w:rsidP="00572731">
            <w:pPr>
              <w:jc w:val="right"/>
              <w:rPr>
                <w:color w:val="auto"/>
                <w:sz w:val="18"/>
                <w:szCs w:val="18"/>
              </w:rPr>
            </w:pPr>
            <w:r>
              <w:rPr>
                <w:color w:val="000000"/>
              </w:rPr>
              <w:t xml:space="preserve"> 2.02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6713DF0" w14:textId="4779E4F8" w:rsidR="00572731" w:rsidRPr="00CE1A25" w:rsidRDefault="00572731" w:rsidP="00572731">
            <w:pPr>
              <w:jc w:val="right"/>
              <w:rPr>
                <w:color w:val="auto"/>
                <w:sz w:val="18"/>
                <w:szCs w:val="18"/>
              </w:rPr>
            </w:pPr>
            <w:r>
              <w:rPr>
                <w:color w:val="000000"/>
              </w:rPr>
              <w:t xml:space="preserve"> 2.02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161F5AE" w14:textId="1F2C50A3" w:rsidR="00572731" w:rsidRPr="00CE1A25" w:rsidRDefault="00572731" w:rsidP="00572731">
            <w:pPr>
              <w:jc w:val="right"/>
              <w:rPr>
                <w:color w:val="auto"/>
                <w:sz w:val="18"/>
                <w:szCs w:val="18"/>
              </w:rPr>
            </w:pPr>
            <w:r>
              <w:rPr>
                <w:color w:val="000000"/>
              </w:rPr>
              <w:t xml:space="preserve"> 2.02        (36) </w:t>
            </w:r>
          </w:p>
        </w:tc>
      </w:tr>
      <w:tr w:rsidR="00572731" w:rsidRPr="00CE1A25" w14:paraId="6414AB83" w14:textId="77777777" w:rsidTr="00572731">
        <w:trPr>
          <w:trHeight w:val="300"/>
        </w:trPr>
        <w:tc>
          <w:tcPr>
            <w:tcW w:w="4815" w:type="dxa"/>
            <w:shd w:val="clear" w:color="auto" w:fill="D9D9D9" w:themeFill="background1" w:themeFillShade="D9"/>
            <w:noWrap/>
            <w:hideMark/>
          </w:tcPr>
          <w:p w14:paraId="439E09B6" w14:textId="77777777" w:rsidR="00572731" w:rsidRPr="00CE1A25" w:rsidRDefault="00572731" w:rsidP="00572731">
            <w:pPr>
              <w:rPr>
                <w:color w:val="auto"/>
                <w:sz w:val="18"/>
                <w:szCs w:val="18"/>
              </w:rPr>
            </w:pPr>
            <w:r w:rsidRPr="00CE1A25">
              <w:rPr>
                <w:color w:val="auto"/>
                <w:sz w:val="18"/>
                <w:szCs w:val="18"/>
              </w:rPr>
              <w:t xml:space="preserve">Other Care Home </w:t>
            </w:r>
          </w:p>
        </w:tc>
        <w:tc>
          <w:tcPr>
            <w:tcW w:w="2283" w:type="dxa"/>
            <w:tcBorders>
              <w:top w:val="single" w:sz="4" w:space="0" w:color="auto"/>
              <w:left w:val="nil"/>
              <w:bottom w:val="single" w:sz="4" w:space="0" w:color="auto"/>
              <w:right w:val="nil"/>
            </w:tcBorders>
            <w:shd w:val="clear" w:color="auto" w:fill="auto"/>
            <w:noWrap/>
            <w:vAlign w:val="bottom"/>
          </w:tcPr>
          <w:p w14:paraId="20E769FB" w14:textId="6057CD42" w:rsidR="00572731" w:rsidRPr="00CE1A25" w:rsidRDefault="00572731" w:rsidP="00572731">
            <w:pPr>
              <w:jc w:val="right"/>
              <w:rPr>
                <w:color w:val="auto"/>
                <w:sz w:val="18"/>
                <w:szCs w:val="18"/>
              </w:rPr>
            </w:pPr>
            <w:r>
              <w:rPr>
                <w:color w:val="000000"/>
              </w:rPr>
              <w:t xml:space="preserve"> 2.72        (31)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7402" w14:textId="3E07CA1E" w:rsidR="00572731" w:rsidRPr="00CE1A25" w:rsidRDefault="00572731" w:rsidP="00572731">
            <w:pPr>
              <w:jc w:val="right"/>
              <w:rPr>
                <w:color w:val="auto"/>
                <w:sz w:val="18"/>
                <w:szCs w:val="18"/>
              </w:rPr>
            </w:pPr>
            <w:r>
              <w:rPr>
                <w:color w:val="000000"/>
              </w:rPr>
              <w:t xml:space="preserve"> 2.72        (31)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94468E9" w14:textId="2C2AA8D4" w:rsidR="00572731" w:rsidRPr="00CE1A25" w:rsidRDefault="00572731" w:rsidP="00572731">
            <w:pPr>
              <w:jc w:val="right"/>
              <w:rPr>
                <w:color w:val="auto"/>
                <w:sz w:val="18"/>
                <w:szCs w:val="18"/>
              </w:rPr>
            </w:pPr>
            <w:r>
              <w:rPr>
                <w:color w:val="000000"/>
              </w:rPr>
              <w:t xml:space="preserve"> 2.72        (31)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07999F8" w14:textId="199FBC4C" w:rsidR="00572731" w:rsidRPr="00CE1A25" w:rsidRDefault="00572731" w:rsidP="00572731">
            <w:pPr>
              <w:jc w:val="right"/>
              <w:rPr>
                <w:color w:val="auto"/>
                <w:sz w:val="18"/>
                <w:szCs w:val="18"/>
              </w:rPr>
            </w:pPr>
            <w:r>
              <w:rPr>
                <w:color w:val="000000"/>
              </w:rPr>
              <w:t xml:space="preserve"> 2.72        (31) </w:t>
            </w:r>
          </w:p>
        </w:tc>
      </w:tr>
      <w:tr w:rsidR="00572731" w:rsidRPr="00CE1A25" w14:paraId="525D4DE4" w14:textId="77777777" w:rsidTr="00572731">
        <w:trPr>
          <w:trHeight w:val="300"/>
        </w:trPr>
        <w:tc>
          <w:tcPr>
            <w:tcW w:w="4815" w:type="dxa"/>
            <w:shd w:val="clear" w:color="auto" w:fill="D9D9D9" w:themeFill="background1" w:themeFillShade="D9"/>
            <w:noWrap/>
            <w:hideMark/>
          </w:tcPr>
          <w:p w14:paraId="0804BA6D" w14:textId="77777777" w:rsidR="00572731" w:rsidRPr="00CE1A25" w:rsidRDefault="00572731" w:rsidP="00572731">
            <w:pPr>
              <w:rPr>
                <w:b/>
                <w:bCs/>
                <w:color w:val="auto"/>
                <w:sz w:val="18"/>
                <w:szCs w:val="18"/>
              </w:rPr>
            </w:pPr>
            <w:r w:rsidRPr="00CE1A25">
              <w:rPr>
                <w:b/>
                <w:bCs/>
                <w:color w:val="auto"/>
                <w:sz w:val="18"/>
                <w:szCs w:val="18"/>
              </w:rPr>
              <w:t>Head Office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0A869" w14:textId="5AD2223A" w:rsidR="00572731" w:rsidRPr="00CE1A25" w:rsidRDefault="00572731" w:rsidP="00572731">
            <w:pPr>
              <w:jc w:val="right"/>
              <w:rPr>
                <w:b/>
                <w:bCs/>
                <w:color w:val="auto"/>
                <w:sz w:val="18"/>
                <w:szCs w:val="18"/>
              </w:rPr>
            </w:pPr>
            <w:r>
              <w:rPr>
                <w:b/>
                <w:bCs/>
                <w:color w:val="000000"/>
              </w:rPr>
              <w:t xml:space="preserve">                  40.98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4F9A28E" w14:textId="751F8A1B" w:rsidR="00572731" w:rsidRPr="00CE1A25" w:rsidRDefault="00572731" w:rsidP="00572731">
            <w:pPr>
              <w:jc w:val="right"/>
              <w:rPr>
                <w:b/>
                <w:bCs/>
                <w:color w:val="auto"/>
                <w:sz w:val="18"/>
                <w:szCs w:val="18"/>
              </w:rPr>
            </w:pPr>
            <w:r>
              <w:rPr>
                <w:b/>
                <w:bCs/>
                <w:color w:val="000000"/>
              </w:rPr>
              <w:t xml:space="preserve">                  40.98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7DDF655" w14:textId="2BB4C5F6" w:rsidR="00572731" w:rsidRPr="00CE1A25" w:rsidRDefault="00572731" w:rsidP="00572731">
            <w:pPr>
              <w:jc w:val="right"/>
              <w:rPr>
                <w:b/>
                <w:bCs/>
                <w:color w:val="auto"/>
                <w:sz w:val="18"/>
                <w:szCs w:val="18"/>
              </w:rPr>
            </w:pPr>
            <w:r>
              <w:rPr>
                <w:b/>
                <w:bCs/>
                <w:color w:val="000000"/>
              </w:rPr>
              <w:t xml:space="preserve">                  40.98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93FDF10" w14:textId="1B46F21D" w:rsidR="00572731" w:rsidRPr="00CE1A25" w:rsidRDefault="00572731" w:rsidP="00572731">
            <w:pPr>
              <w:jc w:val="right"/>
              <w:rPr>
                <w:b/>
                <w:bCs/>
                <w:color w:val="auto"/>
                <w:sz w:val="18"/>
                <w:szCs w:val="18"/>
              </w:rPr>
            </w:pPr>
            <w:r>
              <w:rPr>
                <w:b/>
                <w:bCs/>
                <w:color w:val="000000"/>
              </w:rPr>
              <w:t xml:space="preserve">                  40.98 </w:t>
            </w:r>
          </w:p>
        </w:tc>
      </w:tr>
      <w:tr w:rsidR="00572731" w:rsidRPr="00CE1A25" w14:paraId="2C8EB102" w14:textId="77777777" w:rsidTr="00572731">
        <w:trPr>
          <w:trHeight w:val="300"/>
        </w:trPr>
        <w:tc>
          <w:tcPr>
            <w:tcW w:w="4815" w:type="dxa"/>
            <w:shd w:val="clear" w:color="auto" w:fill="D9D9D9" w:themeFill="background1" w:themeFillShade="D9"/>
            <w:noWrap/>
            <w:hideMark/>
          </w:tcPr>
          <w:p w14:paraId="6081FEF0" w14:textId="77777777" w:rsidR="00572731" w:rsidRPr="00CE1A25" w:rsidRDefault="00572731" w:rsidP="00572731">
            <w:pPr>
              <w:rPr>
                <w:color w:val="auto"/>
                <w:sz w:val="18"/>
                <w:szCs w:val="18"/>
              </w:rPr>
            </w:pPr>
            <w:r w:rsidRPr="00CE1A25">
              <w:rPr>
                <w:color w:val="auto"/>
                <w:sz w:val="18"/>
                <w:szCs w:val="18"/>
              </w:rPr>
              <w:t>Central / Regional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E3897" w14:textId="547B1F32" w:rsidR="00572731" w:rsidRPr="00CE1A25" w:rsidRDefault="00572731" w:rsidP="00572731">
            <w:pPr>
              <w:jc w:val="right"/>
              <w:rPr>
                <w:color w:val="auto"/>
                <w:sz w:val="18"/>
                <w:szCs w:val="18"/>
              </w:rPr>
            </w:pPr>
            <w:r>
              <w:rPr>
                <w:color w:val="000000"/>
              </w:rPr>
              <w:t xml:space="preserve"> 23.97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06DFF48" w14:textId="54A1896B" w:rsidR="00572731" w:rsidRPr="00CE1A25" w:rsidRDefault="00572731" w:rsidP="00572731">
            <w:pPr>
              <w:jc w:val="right"/>
              <w:rPr>
                <w:color w:val="auto"/>
                <w:sz w:val="18"/>
                <w:szCs w:val="18"/>
              </w:rPr>
            </w:pPr>
            <w:r>
              <w:rPr>
                <w:color w:val="000000"/>
              </w:rPr>
              <w:t xml:space="preserve"> 23.97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6E71B8A" w14:textId="2C67C90E" w:rsidR="00572731" w:rsidRPr="00CE1A25" w:rsidRDefault="00572731" w:rsidP="00572731">
            <w:pPr>
              <w:jc w:val="right"/>
              <w:rPr>
                <w:color w:val="auto"/>
                <w:sz w:val="18"/>
                <w:szCs w:val="18"/>
              </w:rPr>
            </w:pPr>
            <w:r>
              <w:rPr>
                <w:color w:val="000000"/>
              </w:rPr>
              <w:t xml:space="preserve"> 23.97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B184152" w14:textId="19300A82" w:rsidR="00572731" w:rsidRPr="00CE1A25" w:rsidRDefault="00572731" w:rsidP="00572731">
            <w:pPr>
              <w:jc w:val="right"/>
              <w:rPr>
                <w:color w:val="auto"/>
                <w:sz w:val="18"/>
                <w:szCs w:val="18"/>
              </w:rPr>
            </w:pPr>
            <w:r>
              <w:rPr>
                <w:color w:val="000000"/>
              </w:rPr>
              <w:t xml:space="preserve"> 23.97        (32) </w:t>
            </w:r>
          </w:p>
        </w:tc>
      </w:tr>
      <w:tr w:rsidR="00572731" w:rsidRPr="00CE1A25" w14:paraId="4B04996B" w14:textId="77777777" w:rsidTr="00572731">
        <w:trPr>
          <w:trHeight w:val="300"/>
        </w:trPr>
        <w:tc>
          <w:tcPr>
            <w:tcW w:w="4815" w:type="dxa"/>
            <w:shd w:val="clear" w:color="auto" w:fill="D9D9D9" w:themeFill="background1" w:themeFillShade="D9"/>
            <w:noWrap/>
            <w:hideMark/>
          </w:tcPr>
          <w:p w14:paraId="79295D29" w14:textId="77777777" w:rsidR="00572731" w:rsidRPr="00CE1A25" w:rsidRDefault="00572731" w:rsidP="00572731">
            <w:pPr>
              <w:rPr>
                <w:color w:val="auto"/>
                <w:sz w:val="18"/>
                <w:szCs w:val="18"/>
              </w:rPr>
            </w:pPr>
            <w:r w:rsidRPr="00CE1A25">
              <w:rPr>
                <w:color w:val="auto"/>
                <w:sz w:val="18"/>
                <w:szCs w:val="18"/>
              </w:rPr>
              <w:t>Support Services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7DA04" w14:textId="72DFE2E0" w:rsidR="00572731" w:rsidRPr="00CE1A25" w:rsidRDefault="00572731" w:rsidP="00572731">
            <w:pPr>
              <w:jc w:val="right"/>
              <w:rPr>
                <w:color w:val="auto"/>
                <w:sz w:val="18"/>
                <w:szCs w:val="18"/>
              </w:rPr>
            </w:pPr>
            <w:r>
              <w:rPr>
                <w:color w:val="000000"/>
              </w:rPr>
              <w:t xml:space="preserve"> 12.49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3A3A97D" w14:textId="7DA38508" w:rsidR="00572731" w:rsidRPr="00CE1A25" w:rsidRDefault="00572731" w:rsidP="00572731">
            <w:pPr>
              <w:jc w:val="right"/>
              <w:rPr>
                <w:color w:val="auto"/>
                <w:sz w:val="18"/>
                <w:szCs w:val="18"/>
              </w:rPr>
            </w:pPr>
            <w:r>
              <w:rPr>
                <w:color w:val="000000"/>
              </w:rPr>
              <w:t xml:space="preserve"> 12.49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8A9F8AD" w14:textId="214F3B4D" w:rsidR="00572731" w:rsidRPr="00CE1A25" w:rsidRDefault="00572731" w:rsidP="00572731">
            <w:pPr>
              <w:jc w:val="right"/>
              <w:rPr>
                <w:color w:val="auto"/>
                <w:sz w:val="18"/>
                <w:szCs w:val="18"/>
              </w:rPr>
            </w:pPr>
            <w:r>
              <w:rPr>
                <w:color w:val="000000"/>
              </w:rPr>
              <w:t xml:space="preserve"> 12.49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BB5DDA3" w14:textId="3AA3FC93" w:rsidR="00572731" w:rsidRPr="00CE1A25" w:rsidRDefault="00572731" w:rsidP="00572731">
            <w:pPr>
              <w:jc w:val="right"/>
              <w:rPr>
                <w:color w:val="auto"/>
                <w:sz w:val="18"/>
                <w:szCs w:val="18"/>
              </w:rPr>
            </w:pPr>
            <w:r>
              <w:rPr>
                <w:color w:val="000000"/>
              </w:rPr>
              <w:t xml:space="preserve"> 12.49        (33) </w:t>
            </w:r>
          </w:p>
        </w:tc>
      </w:tr>
      <w:tr w:rsidR="00572731" w:rsidRPr="00CE1A25" w14:paraId="4CB84CEB" w14:textId="77777777" w:rsidTr="00572731">
        <w:trPr>
          <w:trHeight w:val="300"/>
        </w:trPr>
        <w:tc>
          <w:tcPr>
            <w:tcW w:w="4815" w:type="dxa"/>
            <w:shd w:val="clear" w:color="auto" w:fill="D9D9D9" w:themeFill="background1" w:themeFillShade="D9"/>
            <w:noWrap/>
            <w:hideMark/>
          </w:tcPr>
          <w:p w14:paraId="0A7E8A98" w14:textId="77777777" w:rsidR="00572731" w:rsidRPr="00CE1A25" w:rsidRDefault="00572731" w:rsidP="00572731">
            <w:pPr>
              <w:rPr>
                <w:color w:val="auto"/>
                <w:sz w:val="18"/>
                <w:szCs w:val="18"/>
              </w:rPr>
            </w:pPr>
            <w:r w:rsidRPr="00CE1A25">
              <w:rPr>
                <w:color w:val="auto"/>
                <w:sz w:val="18"/>
                <w:szCs w:val="18"/>
              </w:rPr>
              <w:t>Recruitment, training &amp; vetting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7B233" w14:textId="42510814" w:rsidR="00572731" w:rsidRPr="00CE1A25" w:rsidRDefault="00572731" w:rsidP="00572731">
            <w:pPr>
              <w:jc w:val="right"/>
              <w:rPr>
                <w:color w:val="auto"/>
                <w:sz w:val="18"/>
                <w:szCs w:val="18"/>
              </w:rPr>
            </w:pPr>
            <w:r>
              <w:rPr>
                <w:color w:val="000000"/>
              </w:rPr>
              <w:t xml:space="preserve"> 2.61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D9C2538" w14:textId="24AD1036" w:rsidR="00572731" w:rsidRPr="00CE1A25" w:rsidRDefault="00572731" w:rsidP="00572731">
            <w:pPr>
              <w:jc w:val="right"/>
              <w:rPr>
                <w:color w:val="auto"/>
                <w:sz w:val="18"/>
                <w:szCs w:val="18"/>
              </w:rPr>
            </w:pPr>
            <w:r>
              <w:rPr>
                <w:color w:val="000000"/>
              </w:rPr>
              <w:t xml:space="preserve"> 2.61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A4CB540" w14:textId="08A57711" w:rsidR="00572731" w:rsidRPr="00CE1A25" w:rsidRDefault="00572731" w:rsidP="00572731">
            <w:pPr>
              <w:jc w:val="right"/>
              <w:rPr>
                <w:color w:val="auto"/>
                <w:sz w:val="18"/>
                <w:szCs w:val="18"/>
              </w:rPr>
            </w:pPr>
            <w:r>
              <w:rPr>
                <w:color w:val="000000"/>
              </w:rPr>
              <w:t xml:space="preserve"> 2.61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BD24544" w14:textId="6F1FA6B7" w:rsidR="00572731" w:rsidRPr="00CE1A25" w:rsidRDefault="00572731" w:rsidP="00572731">
            <w:pPr>
              <w:jc w:val="right"/>
              <w:rPr>
                <w:color w:val="auto"/>
                <w:sz w:val="18"/>
                <w:szCs w:val="18"/>
              </w:rPr>
            </w:pPr>
            <w:r>
              <w:rPr>
                <w:color w:val="000000"/>
              </w:rPr>
              <w:t xml:space="preserve"> 2.61        (33) </w:t>
            </w:r>
          </w:p>
        </w:tc>
      </w:tr>
      <w:tr w:rsidR="00572731" w:rsidRPr="00CE1A25" w14:paraId="3A9CD46C" w14:textId="77777777" w:rsidTr="00572731">
        <w:trPr>
          <w:trHeight w:val="300"/>
        </w:trPr>
        <w:tc>
          <w:tcPr>
            <w:tcW w:w="4815" w:type="dxa"/>
            <w:shd w:val="clear" w:color="auto" w:fill="D9D9D9" w:themeFill="background1" w:themeFillShade="D9"/>
            <w:noWrap/>
            <w:hideMark/>
          </w:tcPr>
          <w:p w14:paraId="556BC017" w14:textId="77777777" w:rsidR="00572731" w:rsidRPr="00CE1A25" w:rsidRDefault="00572731" w:rsidP="00572731">
            <w:pPr>
              <w:rPr>
                <w:color w:val="auto"/>
                <w:sz w:val="18"/>
                <w:szCs w:val="18"/>
              </w:rPr>
            </w:pPr>
            <w:r w:rsidRPr="00CE1A25">
              <w:rPr>
                <w:color w:val="auto"/>
                <w:sz w:val="18"/>
                <w:szCs w:val="18"/>
              </w:rPr>
              <w:t>Other head office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521B3" w14:textId="7028DE9D" w:rsidR="00572731" w:rsidRPr="00CE1A25" w:rsidRDefault="00572731" w:rsidP="00572731">
            <w:pPr>
              <w:jc w:val="right"/>
              <w:rPr>
                <w:color w:val="auto"/>
                <w:sz w:val="18"/>
                <w:szCs w:val="18"/>
              </w:rPr>
            </w:pPr>
            <w:r>
              <w:rPr>
                <w:color w:val="000000"/>
              </w:rPr>
              <w:t xml:space="preserve"> 1.91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CDAA6B8" w14:textId="3D08E0E2" w:rsidR="00572731" w:rsidRPr="00CE1A25" w:rsidRDefault="00572731" w:rsidP="00572731">
            <w:pPr>
              <w:jc w:val="right"/>
              <w:rPr>
                <w:color w:val="auto"/>
                <w:sz w:val="18"/>
                <w:szCs w:val="18"/>
              </w:rPr>
            </w:pPr>
            <w:r>
              <w:rPr>
                <w:color w:val="000000"/>
              </w:rPr>
              <w:t xml:space="preserve"> 1.91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B3AC0C1" w14:textId="01276732" w:rsidR="00572731" w:rsidRPr="00CE1A25" w:rsidRDefault="00572731" w:rsidP="00572731">
            <w:pPr>
              <w:jc w:val="right"/>
              <w:rPr>
                <w:color w:val="auto"/>
                <w:sz w:val="18"/>
                <w:szCs w:val="18"/>
              </w:rPr>
            </w:pPr>
            <w:r>
              <w:rPr>
                <w:color w:val="000000"/>
              </w:rPr>
              <w:t xml:space="preserve"> 1.91        (22)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80172C6" w14:textId="4906CDE3" w:rsidR="00572731" w:rsidRPr="00CE1A25" w:rsidRDefault="00572731" w:rsidP="00572731">
            <w:pPr>
              <w:jc w:val="right"/>
              <w:rPr>
                <w:color w:val="auto"/>
                <w:sz w:val="18"/>
                <w:szCs w:val="18"/>
              </w:rPr>
            </w:pPr>
            <w:r>
              <w:rPr>
                <w:color w:val="000000"/>
              </w:rPr>
              <w:t xml:space="preserve"> 1.91        (22) </w:t>
            </w:r>
          </w:p>
        </w:tc>
      </w:tr>
      <w:tr w:rsidR="00572731" w:rsidRPr="00CE1A25" w14:paraId="78B98A2E" w14:textId="77777777" w:rsidTr="001C6D08">
        <w:trPr>
          <w:trHeight w:val="300"/>
        </w:trPr>
        <w:tc>
          <w:tcPr>
            <w:tcW w:w="4815" w:type="dxa"/>
            <w:shd w:val="clear" w:color="auto" w:fill="D9D9D9" w:themeFill="background1" w:themeFillShade="D9"/>
            <w:noWrap/>
            <w:hideMark/>
          </w:tcPr>
          <w:p w14:paraId="2D8DF972" w14:textId="77777777" w:rsidR="00572731" w:rsidRPr="00CE1A25" w:rsidRDefault="00572731" w:rsidP="00572731">
            <w:pPr>
              <w:rPr>
                <w:b/>
                <w:bCs/>
                <w:color w:val="auto"/>
                <w:sz w:val="18"/>
                <w:szCs w:val="18"/>
              </w:rPr>
            </w:pPr>
            <w:r w:rsidRPr="00CE1A25">
              <w:rPr>
                <w:b/>
                <w:bCs/>
                <w:color w:val="auto"/>
                <w:sz w:val="18"/>
                <w:szCs w:val="18"/>
              </w:rPr>
              <w:t>Sub-total Operating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74575" w14:textId="419A5C4A" w:rsidR="00572731" w:rsidRPr="00CE1A25" w:rsidRDefault="00572731" w:rsidP="00572731">
            <w:pPr>
              <w:jc w:val="right"/>
              <w:rPr>
                <w:b/>
                <w:bCs/>
                <w:color w:val="auto"/>
                <w:sz w:val="18"/>
                <w:szCs w:val="18"/>
              </w:rPr>
            </w:pPr>
            <w:r>
              <w:rPr>
                <w:b/>
                <w:bCs/>
                <w:color w:val="000000"/>
              </w:rPr>
              <w:t xml:space="preserve">                653.63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E207870" w14:textId="1B82236D" w:rsidR="00572731" w:rsidRPr="00CE1A25" w:rsidRDefault="00572731" w:rsidP="00572731">
            <w:pPr>
              <w:jc w:val="right"/>
              <w:rPr>
                <w:b/>
                <w:bCs/>
                <w:color w:val="auto"/>
                <w:sz w:val="18"/>
                <w:szCs w:val="18"/>
              </w:rPr>
            </w:pPr>
            <w:r>
              <w:rPr>
                <w:b/>
                <w:bCs/>
                <w:color w:val="000000"/>
              </w:rPr>
              <w:t xml:space="preserve">                670.46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EB93FD8" w14:textId="104F2F8C" w:rsidR="00572731" w:rsidRPr="00CE1A25" w:rsidRDefault="00572731" w:rsidP="00572731">
            <w:pPr>
              <w:jc w:val="right"/>
              <w:rPr>
                <w:b/>
                <w:bCs/>
                <w:color w:val="auto"/>
                <w:sz w:val="18"/>
                <w:szCs w:val="18"/>
              </w:rPr>
            </w:pPr>
            <w:r>
              <w:rPr>
                <w:b/>
                <w:bCs/>
                <w:color w:val="000000"/>
              </w:rPr>
              <w:t xml:space="preserve">                825.43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3D33589" w14:textId="4E1F4E59" w:rsidR="00572731" w:rsidRPr="00CE1A25" w:rsidRDefault="00572731" w:rsidP="00572731">
            <w:pPr>
              <w:jc w:val="right"/>
              <w:rPr>
                <w:b/>
                <w:bCs/>
                <w:color w:val="auto"/>
                <w:sz w:val="18"/>
                <w:szCs w:val="18"/>
              </w:rPr>
            </w:pPr>
            <w:r>
              <w:rPr>
                <w:b/>
                <w:bCs/>
                <w:color w:val="000000"/>
              </w:rPr>
              <w:t xml:space="preserve">                882.47 </w:t>
            </w:r>
          </w:p>
        </w:tc>
      </w:tr>
      <w:tr w:rsidR="00572731" w:rsidRPr="00CE1A25" w14:paraId="77EBE547" w14:textId="77777777" w:rsidTr="00572731">
        <w:trPr>
          <w:trHeight w:val="350"/>
        </w:trPr>
        <w:tc>
          <w:tcPr>
            <w:tcW w:w="4815" w:type="dxa"/>
            <w:shd w:val="clear" w:color="auto" w:fill="D9D9D9" w:themeFill="background1" w:themeFillShade="D9"/>
            <w:noWrap/>
            <w:hideMark/>
          </w:tcPr>
          <w:p w14:paraId="00F6F682" w14:textId="77777777" w:rsidR="00572731" w:rsidRPr="00CE1A25" w:rsidRDefault="00572731" w:rsidP="00572731">
            <w:pPr>
              <w:rPr>
                <w:b/>
                <w:bCs/>
                <w:color w:val="auto"/>
                <w:sz w:val="18"/>
                <w:szCs w:val="18"/>
              </w:rPr>
            </w:pPr>
            <w:r w:rsidRPr="00CE1A25">
              <w:rPr>
                <w:b/>
                <w:bCs/>
                <w:color w:val="auto"/>
                <w:sz w:val="18"/>
                <w:szCs w:val="18"/>
              </w:rPr>
              <w:t>Return on Operations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B8D01" w14:textId="7E735A09" w:rsidR="00572731" w:rsidRPr="00CE1A25" w:rsidRDefault="00572731" w:rsidP="00572731">
            <w:pPr>
              <w:jc w:val="right"/>
              <w:rPr>
                <w:color w:val="auto"/>
                <w:sz w:val="18"/>
                <w:szCs w:val="18"/>
              </w:rPr>
            </w:pPr>
            <w:r>
              <w:rPr>
                <w:color w:val="000000"/>
              </w:rPr>
              <w:t xml:space="preserve">                        65.36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C3D268C" w14:textId="2ACAF90B" w:rsidR="00572731" w:rsidRPr="00CE1A25" w:rsidRDefault="00572731" w:rsidP="00572731">
            <w:pPr>
              <w:jc w:val="right"/>
              <w:rPr>
                <w:color w:val="auto"/>
                <w:sz w:val="18"/>
                <w:szCs w:val="18"/>
              </w:rPr>
            </w:pPr>
            <w:r>
              <w:rPr>
                <w:color w:val="000000"/>
              </w:rPr>
              <w:t xml:space="preserve">                        67.05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0FC9D44" w14:textId="50582918" w:rsidR="00572731" w:rsidRPr="00CE1A25" w:rsidRDefault="00572731" w:rsidP="00572731">
            <w:pPr>
              <w:jc w:val="right"/>
              <w:rPr>
                <w:color w:val="auto"/>
                <w:sz w:val="18"/>
                <w:szCs w:val="18"/>
              </w:rPr>
            </w:pPr>
            <w:r>
              <w:rPr>
                <w:color w:val="000000"/>
              </w:rPr>
              <w:t xml:space="preserve">                        82.54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62A181C" w14:textId="25BB2125" w:rsidR="00572731" w:rsidRPr="00CE1A25" w:rsidRDefault="00572731" w:rsidP="00572731">
            <w:pPr>
              <w:jc w:val="right"/>
              <w:rPr>
                <w:color w:val="auto"/>
                <w:sz w:val="18"/>
                <w:szCs w:val="18"/>
              </w:rPr>
            </w:pPr>
            <w:r>
              <w:rPr>
                <w:color w:val="000000"/>
              </w:rPr>
              <w:t xml:space="preserve">                        88.25 </w:t>
            </w:r>
          </w:p>
        </w:tc>
      </w:tr>
      <w:tr w:rsidR="00572731" w:rsidRPr="00CE1A25" w14:paraId="2FE98FDB" w14:textId="77777777" w:rsidTr="00572731">
        <w:trPr>
          <w:trHeight w:val="350"/>
        </w:trPr>
        <w:tc>
          <w:tcPr>
            <w:tcW w:w="4815" w:type="dxa"/>
            <w:shd w:val="clear" w:color="auto" w:fill="D9D9D9" w:themeFill="background1" w:themeFillShade="D9"/>
            <w:noWrap/>
            <w:hideMark/>
          </w:tcPr>
          <w:p w14:paraId="2FC7BF58" w14:textId="77777777" w:rsidR="00572731" w:rsidRPr="00CE1A25" w:rsidRDefault="00572731" w:rsidP="00572731">
            <w:pPr>
              <w:rPr>
                <w:b/>
                <w:bCs/>
                <w:color w:val="auto"/>
                <w:sz w:val="18"/>
                <w:szCs w:val="18"/>
              </w:rPr>
            </w:pPr>
            <w:r w:rsidRPr="00CE1A25">
              <w:rPr>
                <w:b/>
                <w:bCs/>
                <w:color w:val="auto"/>
                <w:sz w:val="18"/>
                <w:szCs w:val="18"/>
              </w:rPr>
              <w:t>Return on Capital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451D6" w14:textId="110E6157" w:rsidR="00572731" w:rsidRPr="00CE1A25" w:rsidRDefault="00572731" w:rsidP="00572731">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9C4416E" w14:textId="298684F6" w:rsidR="00572731" w:rsidRPr="00CE1A25" w:rsidRDefault="00572731" w:rsidP="00572731">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90EE5C4" w14:textId="42406EDC" w:rsidR="00572731" w:rsidRPr="00CE1A25" w:rsidRDefault="00572731" w:rsidP="00572731">
            <w:pPr>
              <w:jc w:val="right"/>
              <w:rPr>
                <w:color w:val="auto"/>
                <w:sz w:val="18"/>
                <w:szCs w:val="18"/>
              </w:rPr>
            </w:pPr>
            <w:r>
              <w:rPr>
                <w:color w:val="000000"/>
              </w:rPr>
              <w:t xml:space="preserve">                        68.55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B914AA6" w14:textId="6E14A75B" w:rsidR="00572731" w:rsidRPr="00CE1A25" w:rsidRDefault="00572731" w:rsidP="00572731">
            <w:pPr>
              <w:jc w:val="right"/>
              <w:rPr>
                <w:color w:val="auto"/>
                <w:sz w:val="18"/>
                <w:szCs w:val="18"/>
              </w:rPr>
            </w:pPr>
            <w:r>
              <w:rPr>
                <w:color w:val="000000"/>
              </w:rPr>
              <w:t xml:space="preserve">                        68.55 </w:t>
            </w:r>
          </w:p>
        </w:tc>
      </w:tr>
      <w:tr w:rsidR="00572731" w:rsidRPr="00CE1A25" w14:paraId="797C30FB" w14:textId="77777777" w:rsidTr="00572731">
        <w:trPr>
          <w:trHeight w:val="350"/>
        </w:trPr>
        <w:tc>
          <w:tcPr>
            <w:tcW w:w="4815" w:type="dxa"/>
            <w:shd w:val="clear" w:color="auto" w:fill="D9D9D9" w:themeFill="background1" w:themeFillShade="D9"/>
            <w:noWrap/>
            <w:hideMark/>
          </w:tcPr>
          <w:p w14:paraId="43C7741F" w14:textId="77777777" w:rsidR="00572731" w:rsidRPr="00CE1A25" w:rsidRDefault="00572731" w:rsidP="00572731">
            <w:pPr>
              <w:rPr>
                <w:b/>
                <w:bCs/>
                <w:color w:val="auto"/>
                <w:sz w:val="18"/>
                <w:szCs w:val="18"/>
              </w:rPr>
            </w:pPr>
            <w:r w:rsidRPr="00CE1A25">
              <w:rPr>
                <w:b/>
                <w:bCs/>
                <w:color w:val="auto"/>
                <w:sz w:val="18"/>
                <w:szCs w:val="18"/>
              </w:rPr>
              <w:t>Total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E8F9E" w14:textId="2D643E81" w:rsidR="00572731" w:rsidRPr="00CE1A25" w:rsidRDefault="00572731" w:rsidP="00572731">
            <w:pPr>
              <w:jc w:val="right"/>
              <w:rPr>
                <w:color w:val="auto"/>
                <w:sz w:val="18"/>
                <w:szCs w:val="18"/>
              </w:rPr>
            </w:pPr>
            <w:r>
              <w:rPr>
                <w:b/>
                <w:bCs/>
                <w:color w:val="000000"/>
              </w:rPr>
              <w:t xml:space="preserve">                787.54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A988FBF" w14:textId="212D7156" w:rsidR="00572731" w:rsidRPr="00CE1A25" w:rsidRDefault="00572731" w:rsidP="00572731">
            <w:pPr>
              <w:jc w:val="right"/>
              <w:rPr>
                <w:color w:val="auto"/>
                <w:sz w:val="18"/>
                <w:szCs w:val="18"/>
              </w:rPr>
            </w:pPr>
            <w:r>
              <w:rPr>
                <w:b/>
                <w:bCs/>
                <w:color w:val="000000"/>
              </w:rPr>
              <w:t xml:space="preserve">                806.06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9CF42B8" w14:textId="2A733D41" w:rsidR="00572731" w:rsidRPr="00CE1A25" w:rsidRDefault="00572731" w:rsidP="00572731">
            <w:pPr>
              <w:jc w:val="right"/>
              <w:rPr>
                <w:color w:val="auto"/>
                <w:sz w:val="18"/>
                <w:szCs w:val="18"/>
              </w:rPr>
            </w:pPr>
            <w:r>
              <w:rPr>
                <w:b/>
                <w:bCs/>
                <w:color w:val="000000"/>
              </w:rPr>
              <w:t xml:space="preserve">                976.52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F3F4664" w14:textId="37667DA4" w:rsidR="00572731" w:rsidRPr="00CE1A25" w:rsidRDefault="00572731" w:rsidP="00572731">
            <w:pPr>
              <w:jc w:val="right"/>
              <w:rPr>
                <w:color w:val="auto"/>
                <w:sz w:val="18"/>
                <w:szCs w:val="18"/>
              </w:rPr>
            </w:pPr>
            <w:r>
              <w:rPr>
                <w:b/>
                <w:bCs/>
                <w:color w:val="000000"/>
              </w:rPr>
              <w:t xml:space="preserve">             1,039.27 </w:t>
            </w:r>
          </w:p>
        </w:tc>
      </w:tr>
      <w:tr w:rsidR="00572731" w:rsidRPr="00CE1A25" w14:paraId="2E94F586" w14:textId="77777777" w:rsidTr="00572731">
        <w:trPr>
          <w:trHeight w:val="350"/>
        </w:trPr>
        <w:tc>
          <w:tcPr>
            <w:tcW w:w="4815" w:type="dxa"/>
            <w:shd w:val="clear" w:color="auto" w:fill="D9D9D9" w:themeFill="background1" w:themeFillShade="D9"/>
            <w:noWrap/>
            <w:vAlign w:val="center"/>
          </w:tcPr>
          <w:p w14:paraId="69D4AD58" w14:textId="78715398" w:rsidR="00572731" w:rsidRPr="00CE1A25" w:rsidRDefault="00572731" w:rsidP="00572731">
            <w:pPr>
              <w:rPr>
                <w:b/>
                <w:bCs/>
                <w:color w:val="auto"/>
                <w:sz w:val="18"/>
                <w:szCs w:val="18"/>
              </w:rPr>
            </w:pPr>
            <w:r w:rsidRPr="00CE1A25">
              <w:rPr>
                <w:rFonts w:cs="Calibri"/>
                <w:b/>
                <w:bCs/>
                <w:color w:val="auto"/>
                <w:sz w:val="18"/>
                <w:szCs w:val="18"/>
              </w:rPr>
              <w:lastRenderedPageBreak/>
              <w:t>Supporting information on important cost drivers used in the calculations:</w:t>
            </w:r>
          </w:p>
        </w:tc>
        <w:tc>
          <w:tcPr>
            <w:tcW w:w="2283" w:type="dxa"/>
            <w:tcBorders>
              <w:top w:val="single" w:sz="4" w:space="0" w:color="auto"/>
              <w:bottom w:val="single" w:sz="4" w:space="0" w:color="auto"/>
            </w:tcBorders>
            <w:noWrap/>
            <w:vAlign w:val="bottom"/>
          </w:tcPr>
          <w:p w14:paraId="1F0B0A5F" w14:textId="0A60E96E" w:rsidR="00572731" w:rsidRPr="00CE1A25" w:rsidRDefault="00572731" w:rsidP="00572731">
            <w:pPr>
              <w:jc w:val="center"/>
              <w:rPr>
                <w:color w:val="auto"/>
                <w:sz w:val="18"/>
                <w:szCs w:val="18"/>
              </w:rPr>
            </w:pPr>
            <w:r w:rsidRPr="00CE1A25">
              <w:rPr>
                <w:rFonts w:ascii="Calibri" w:hAnsi="Calibri" w:cs="Calibri"/>
                <w:color w:val="auto"/>
              </w:rPr>
              <w:t>65+ care home places without nursing</w:t>
            </w:r>
          </w:p>
        </w:tc>
        <w:tc>
          <w:tcPr>
            <w:tcW w:w="2283" w:type="dxa"/>
            <w:tcBorders>
              <w:top w:val="single" w:sz="4" w:space="0" w:color="auto"/>
              <w:bottom w:val="single" w:sz="4" w:space="0" w:color="auto"/>
            </w:tcBorders>
            <w:noWrap/>
            <w:vAlign w:val="bottom"/>
          </w:tcPr>
          <w:p w14:paraId="0599AC97" w14:textId="42E7E6A5" w:rsidR="00572731" w:rsidRPr="00CE1A25" w:rsidRDefault="00572731" w:rsidP="00572731">
            <w:pPr>
              <w:jc w:val="center"/>
              <w:rPr>
                <w:color w:val="auto"/>
                <w:sz w:val="18"/>
                <w:szCs w:val="18"/>
              </w:rPr>
            </w:pPr>
            <w:r w:rsidRPr="00CE1A25">
              <w:rPr>
                <w:rFonts w:ascii="Calibri" w:hAnsi="Calibri" w:cs="Calibri"/>
                <w:color w:val="auto"/>
              </w:rPr>
              <w:t>65+ care home places without nursing, enhanced needs</w:t>
            </w:r>
          </w:p>
        </w:tc>
        <w:tc>
          <w:tcPr>
            <w:tcW w:w="2283" w:type="dxa"/>
            <w:tcBorders>
              <w:top w:val="single" w:sz="4" w:space="0" w:color="auto"/>
              <w:bottom w:val="single" w:sz="4" w:space="0" w:color="auto"/>
            </w:tcBorders>
            <w:noWrap/>
            <w:vAlign w:val="bottom"/>
          </w:tcPr>
          <w:p w14:paraId="737EDAAB" w14:textId="55881EEF" w:rsidR="00572731" w:rsidRPr="00CE1A25" w:rsidRDefault="00572731" w:rsidP="00572731">
            <w:pPr>
              <w:jc w:val="center"/>
              <w:rPr>
                <w:color w:val="auto"/>
                <w:sz w:val="18"/>
                <w:szCs w:val="18"/>
              </w:rPr>
            </w:pPr>
            <w:r w:rsidRPr="00CE1A25">
              <w:rPr>
                <w:rFonts w:ascii="Calibri" w:hAnsi="Calibri" w:cs="Calibri"/>
                <w:color w:val="auto"/>
              </w:rPr>
              <w:t>65+ care home places with nursing</w:t>
            </w:r>
          </w:p>
        </w:tc>
        <w:tc>
          <w:tcPr>
            <w:tcW w:w="2284" w:type="dxa"/>
            <w:tcBorders>
              <w:top w:val="single" w:sz="4" w:space="0" w:color="auto"/>
              <w:bottom w:val="single" w:sz="4" w:space="0" w:color="auto"/>
            </w:tcBorders>
            <w:noWrap/>
            <w:vAlign w:val="bottom"/>
          </w:tcPr>
          <w:p w14:paraId="6497CCB4" w14:textId="62178C3E" w:rsidR="00572731" w:rsidRPr="00CE1A25" w:rsidRDefault="00572731" w:rsidP="00572731">
            <w:pPr>
              <w:jc w:val="center"/>
              <w:rPr>
                <w:color w:val="auto"/>
                <w:sz w:val="18"/>
                <w:szCs w:val="18"/>
              </w:rPr>
            </w:pPr>
            <w:r w:rsidRPr="00CE1A25">
              <w:rPr>
                <w:rFonts w:ascii="Calibri" w:hAnsi="Calibri" w:cs="Calibri"/>
                <w:color w:val="auto"/>
              </w:rPr>
              <w:t>65+ care home places with nursing, enhanced needs</w:t>
            </w:r>
          </w:p>
        </w:tc>
      </w:tr>
      <w:tr w:rsidR="00572731" w:rsidRPr="00CE1A25" w14:paraId="2C4D3CA5" w14:textId="77777777" w:rsidTr="007D6EBA">
        <w:trPr>
          <w:trHeight w:val="350"/>
        </w:trPr>
        <w:tc>
          <w:tcPr>
            <w:tcW w:w="4815" w:type="dxa"/>
            <w:shd w:val="clear" w:color="auto" w:fill="D9D9D9" w:themeFill="background1" w:themeFillShade="D9"/>
            <w:noWrap/>
            <w:vAlign w:val="center"/>
          </w:tcPr>
          <w:p w14:paraId="76D7D36F" w14:textId="6884B6EB" w:rsidR="00572731" w:rsidRPr="00CE1A25" w:rsidRDefault="00572731" w:rsidP="00572731">
            <w:pPr>
              <w:rPr>
                <w:rFonts w:cs="Arial"/>
                <w:color w:val="auto"/>
                <w:sz w:val="18"/>
                <w:szCs w:val="18"/>
              </w:rPr>
            </w:pPr>
            <w:r w:rsidRPr="00CE1A25">
              <w:rPr>
                <w:rFonts w:cs="Arial"/>
                <w:color w:val="auto"/>
                <w:sz w:val="18"/>
                <w:szCs w:val="18"/>
              </w:rPr>
              <w:t>Number of fully or partially verified location level survey responses received</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73568" w14:textId="16BEBD1A" w:rsidR="00572731" w:rsidRPr="00CE1A25" w:rsidRDefault="00572731" w:rsidP="00572731">
            <w:pPr>
              <w:jc w:val="center"/>
              <w:rPr>
                <w:b/>
                <w:bCs/>
                <w:color w:val="auto"/>
                <w:sz w:val="18"/>
                <w:szCs w:val="18"/>
              </w:rPr>
            </w:pPr>
            <w:r w:rsidRPr="00CE1A25">
              <w:rPr>
                <w:color w:val="auto"/>
              </w:rPr>
              <w:t>21</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B28C48D" w14:textId="2E6959C0" w:rsidR="00572731" w:rsidRPr="00CE1A25" w:rsidRDefault="00572731" w:rsidP="00572731">
            <w:pPr>
              <w:jc w:val="center"/>
              <w:rPr>
                <w:b/>
                <w:bCs/>
                <w:color w:val="auto"/>
                <w:sz w:val="18"/>
                <w:szCs w:val="18"/>
              </w:rPr>
            </w:pPr>
            <w:r w:rsidRPr="00CE1A25">
              <w:rPr>
                <w:color w:val="auto"/>
              </w:rPr>
              <w:t>20</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6093309" w14:textId="1AA4E348" w:rsidR="00572731" w:rsidRPr="00CE1A25" w:rsidRDefault="00572731" w:rsidP="00572731">
            <w:pPr>
              <w:jc w:val="center"/>
              <w:rPr>
                <w:b/>
                <w:bCs/>
                <w:color w:val="auto"/>
                <w:sz w:val="18"/>
                <w:szCs w:val="18"/>
              </w:rPr>
            </w:pPr>
            <w:r w:rsidRPr="00CE1A25">
              <w:rPr>
                <w:color w:val="auto"/>
              </w:rPr>
              <w:t>20</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9F7A3A0" w14:textId="42B01467" w:rsidR="00572731" w:rsidRPr="00CE1A25" w:rsidRDefault="00572731" w:rsidP="00572731">
            <w:pPr>
              <w:jc w:val="center"/>
              <w:rPr>
                <w:b/>
                <w:bCs/>
                <w:color w:val="auto"/>
                <w:sz w:val="18"/>
                <w:szCs w:val="18"/>
              </w:rPr>
            </w:pPr>
            <w:r w:rsidRPr="00CE1A25">
              <w:rPr>
                <w:color w:val="auto"/>
              </w:rPr>
              <w:t>16</w:t>
            </w:r>
          </w:p>
        </w:tc>
      </w:tr>
      <w:tr w:rsidR="00572731" w:rsidRPr="00CE1A25" w14:paraId="721EF6A8" w14:textId="77777777" w:rsidTr="00984A57">
        <w:trPr>
          <w:trHeight w:val="350"/>
        </w:trPr>
        <w:tc>
          <w:tcPr>
            <w:tcW w:w="4815" w:type="dxa"/>
            <w:shd w:val="clear" w:color="auto" w:fill="D9D9D9" w:themeFill="background1" w:themeFillShade="D9"/>
            <w:noWrap/>
            <w:vAlign w:val="center"/>
          </w:tcPr>
          <w:p w14:paraId="2A1C41D0" w14:textId="45911E5C" w:rsidR="00572731" w:rsidRPr="00CE1A25" w:rsidRDefault="00572731" w:rsidP="00572731">
            <w:pPr>
              <w:rPr>
                <w:b/>
                <w:bCs/>
                <w:color w:val="auto"/>
                <w:sz w:val="18"/>
                <w:szCs w:val="18"/>
              </w:rPr>
            </w:pPr>
            <w:r w:rsidRPr="00CE1A25">
              <w:rPr>
                <w:rFonts w:cs="Arial"/>
                <w:color w:val="auto"/>
                <w:sz w:val="18"/>
                <w:szCs w:val="18"/>
              </w:rPr>
              <w:t>Number of locations eligible to fill in the survey (excluding those found to be ineligible)</w:t>
            </w:r>
            <w:r w:rsidRPr="00CE1A25">
              <w:rPr>
                <w:rStyle w:val="FootnoteReference"/>
                <w:rFonts w:cs="Arial"/>
                <w:color w:val="auto"/>
                <w:sz w:val="18"/>
                <w:szCs w:val="18"/>
              </w:rPr>
              <w:footnoteReference w:id="11"/>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58110" w14:textId="224A5FFA" w:rsidR="00572731" w:rsidRPr="00CE1A25" w:rsidRDefault="00572731" w:rsidP="00572731">
            <w:pPr>
              <w:jc w:val="center"/>
              <w:rPr>
                <w:b/>
                <w:bCs/>
                <w:color w:val="auto"/>
                <w:sz w:val="18"/>
                <w:szCs w:val="18"/>
              </w:rPr>
            </w:pPr>
            <w:r w:rsidRPr="00CE1A25">
              <w:rPr>
                <w:color w:val="auto"/>
              </w:rPr>
              <w:t>34</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904F4A3" w14:textId="27E9422F" w:rsidR="00572731" w:rsidRPr="00CE1A25" w:rsidRDefault="00572731" w:rsidP="00572731">
            <w:pPr>
              <w:jc w:val="center"/>
              <w:rPr>
                <w:b/>
                <w:bCs/>
                <w:color w:val="auto"/>
                <w:sz w:val="18"/>
                <w:szCs w:val="18"/>
              </w:rPr>
            </w:pPr>
            <w:r w:rsidRPr="00CE1A25">
              <w:rPr>
                <w:color w:val="auto"/>
              </w:rPr>
              <w:t>34</w:t>
            </w:r>
          </w:p>
        </w:tc>
        <w:tc>
          <w:tcPr>
            <w:tcW w:w="2283" w:type="dxa"/>
            <w:tcBorders>
              <w:top w:val="single" w:sz="4" w:space="0" w:color="auto"/>
              <w:left w:val="nil"/>
              <w:bottom w:val="single" w:sz="4" w:space="0" w:color="auto"/>
              <w:right w:val="nil"/>
            </w:tcBorders>
            <w:shd w:val="clear" w:color="auto" w:fill="auto"/>
            <w:noWrap/>
            <w:vAlign w:val="bottom"/>
          </w:tcPr>
          <w:p w14:paraId="7E2A0965" w14:textId="2B6ED33B" w:rsidR="00572731" w:rsidRPr="00CE1A25" w:rsidRDefault="00572731" w:rsidP="00572731">
            <w:pPr>
              <w:jc w:val="center"/>
              <w:rPr>
                <w:b/>
                <w:bCs/>
                <w:color w:val="auto"/>
                <w:sz w:val="18"/>
                <w:szCs w:val="18"/>
              </w:rPr>
            </w:pPr>
            <w:r w:rsidRPr="00CE1A25">
              <w:rPr>
                <w:color w:val="auto"/>
              </w:rPr>
              <w:t>36</w:t>
            </w:r>
          </w:p>
        </w:tc>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77562" w14:textId="7F2F5375" w:rsidR="00572731" w:rsidRPr="00CE1A25" w:rsidRDefault="00572731" w:rsidP="00572731">
            <w:pPr>
              <w:jc w:val="center"/>
              <w:rPr>
                <w:b/>
                <w:bCs/>
                <w:color w:val="auto"/>
                <w:sz w:val="18"/>
                <w:szCs w:val="18"/>
              </w:rPr>
            </w:pPr>
            <w:r w:rsidRPr="00CE1A25">
              <w:rPr>
                <w:color w:val="auto"/>
              </w:rPr>
              <w:t>36</w:t>
            </w:r>
          </w:p>
        </w:tc>
      </w:tr>
      <w:tr w:rsidR="00572731" w:rsidRPr="00CE1A25" w14:paraId="21E7633F" w14:textId="77777777" w:rsidTr="00984A57">
        <w:trPr>
          <w:trHeight w:val="350"/>
        </w:trPr>
        <w:tc>
          <w:tcPr>
            <w:tcW w:w="4815" w:type="dxa"/>
            <w:shd w:val="clear" w:color="auto" w:fill="D9D9D9" w:themeFill="background1" w:themeFillShade="D9"/>
            <w:noWrap/>
            <w:vAlign w:val="center"/>
          </w:tcPr>
          <w:p w14:paraId="28E984DE" w14:textId="7119299E" w:rsidR="00572731" w:rsidRPr="00CE1A25" w:rsidRDefault="00572731" w:rsidP="00572731">
            <w:pPr>
              <w:rPr>
                <w:b/>
                <w:bCs/>
                <w:color w:val="auto"/>
                <w:sz w:val="18"/>
                <w:szCs w:val="18"/>
              </w:rPr>
            </w:pPr>
            <w:r w:rsidRPr="00CE1A25">
              <w:rPr>
                <w:rFonts w:cs="Arial"/>
                <w:color w:val="auto"/>
                <w:sz w:val="18"/>
                <w:szCs w:val="18"/>
              </w:rPr>
              <w:t>Number of residents covered by the responses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F99D" w14:textId="11AC8114" w:rsidR="00572731" w:rsidRPr="00CE1A25" w:rsidRDefault="00572731" w:rsidP="00572731">
            <w:pPr>
              <w:jc w:val="center"/>
              <w:rPr>
                <w:b/>
                <w:bCs/>
                <w:color w:val="auto"/>
                <w:sz w:val="18"/>
                <w:szCs w:val="18"/>
              </w:rPr>
            </w:pPr>
            <w:r w:rsidRPr="00CE1A25">
              <w:rPr>
                <w:color w:val="auto"/>
              </w:rPr>
              <w:t>592</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166C204" w14:textId="21E087A7" w:rsidR="00572731" w:rsidRPr="00CE1A25" w:rsidRDefault="00572731" w:rsidP="00572731">
            <w:pPr>
              <w:jc w:val="center"/>
              <w:rPr>
                <w:b/>
                <w:bCs/>
                <w:color w:val="auto"/>
                <w:sz w:val="18"/>
                <w:szCs w:val="18"/>
              </w:rPr>
            </w:pPr>
            <w:r w:rsidRPr="00CE1A25">
              <w:rPr>
                <w:color w:val="auto"/>
              </w:rPr>
              <w:t>688</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E2E0651" w14:textId="3DC0CBAA" w:rsidR="00572731" w:rsidRPr="00CE1A25" w:rsidRDefault="00572731" w:rsidP="00572731">
            <w:pPr>
              <w:jc w:val="center"/>
              <w:rPr>
                <w:b/>
                <w:bCs/>
                <w:color w:val="auto"/>
                <w:sz w:val="18"/>
                <w:szCs w:val="18"/>
              </w:rPr>
            </w:pPr>
            <w:r w:rsidRPr="00CE1A25">
              <w:rPr>
                <w:color w:val="auto"/>
              </w:rPr>
              <w:t>711</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6B53CB8" w14:textId="285202DD" w:rsidR="00572731" w:rsidRPr="00CE1A25" w:rsidRDefault="00572731" w:rsidP="00572731">
            <w:pPr>
              <w:jc w:val="center"/>
              <w:rPr>
                <w:b/>
                <w:bCs/>
                <w:color w:val="auto"/>
                <w:sz w:val="18"/>
                <w:szCs w:val="18"/>
              </w:rPr>
            </w:pPr>
            <w:r w:rsidRPr="00CE1A25">
              <w:rPr>
                <w:color w:val="auto"/>
              </w:rPr>
              <w:t>747</w:t>
            </w:r>
          </w:p>
        </w:tc>
      </w:tr>
      <w:tr w:rsidR="00572731" w:rsidRPr="00CE1A25" w14:paraId="6B3461FB" w14:textId="77777777" w:rsidTr="00984A57">
        <w:trPr>
          <w:trHeight w:val="350"/>
        </w:trPr>
        <w:tc>
          <w:tcPr>
            <w:tcW w:w="4815" w:type="dxa"/>
            <w:shd w:val="clear" w:color="auto" w:fill="D9D9D9" w:themeFill="background1" w:themeFillShade="D9"/>
            <w:noWrap/>
            <w:vAlign w:val="center"/>
          </w:tcPr>
          <w:p w14:paraId="239BF13E" w14:textId="5FDD531B" w:rsidR="00572731" w:rsidRPr="00CE1A25" w:rsidRDefault="00572731" w:rsidP="00572731">
            <w:pPr>
              <w:rPr>
                <w:b/>
                <w:bCs/>
                <w:color w:val="auto"/>
                <w:sz w:val="18"/>
                <w:szCs w:val="18"/>
              </w:rPr>
            </w:pPr>
            <w:r w:rsidRPr="00CE1A25">
              <w:rPr>
                <w:rFonts w:cs="Arial"/>
                <w:color w:val="auto"/>
                <w:sz w:val="18"/>
                <w:szCs w:val="18"/>
              </w:rPr>
              <w:t>Number of carer hours per resident per week</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2B004" w14:textId="6D44A469" w:rsidR="00572731" w:rsidRPr="00CE1A25" w:rsidRDefault="00572731" w:rsidP="00572731">
            <w:pPr>
              <w:jc w:val="center"/>
              <w:rPr>
                <w:b/>
                <w:bCs/>
                <w:color w:val="auto"/>
                <w:sz w:val="18"/>
                <w:szCs w:val="18"/>
              </w:rPr>
            </w:pPr>
            <w:r w:rsidRPr="00CE1A25">
              <w:rPr>
                <w:color w:val="auto"/>
              </w:rPr>
              <w:t>26</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0A750C9" w14:textId="7D643EF6" w:rsidR="00572731" w:rsidRPr="00CE1A25" w:rsidRDefault="00572731" w:rsidP="00572731">
            <w:pPr>
              <w:jc w:val="center"/>
              <w:rPr>
                <w:b/>
                <w:bCs/>
                <w:color w:val="auto"/>
                <w:sz w:val="18"/>
                <w:szCs w:val="18"/>
              </w:rPr>
            </w:pPr>
            <w:r w:rsidRPr="00CE1A25">
              <w:rPr>
                <w:color w:val="auto"/>
              </w:rPr>
              <w:t>25</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DD305DC" w14:textId="09D05616" w:rsidR="00572731" w:rsidRPr="00CE1A25" w:rsidRDefault="00572731" w:rsidP="00572731">
            <w:pPr>
              <w:jc w:val="center"/>
              <w:rPr>
                <w:b/>
                <w:bCs/>
                <w:color w:val="auto"/>
                <w:sz w:val="18"/>
                <w:szCs w:val="18"/>
              </w:rPr>
            </w:pPr>
            <w:r w:rsidRPr="00CE1A25">
              <w:rPr>
                <w:color w:val="auto"/>
              </w:rPr>
              <w:t>21</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394B6C5" w14:textId="18834111" w:rsidR="00572731" w:rsidRPr="00CE1A25" w:rsidRDefault="00572731" w:rsidP="00572731">
            <w:pPr>
              <w:jc w:val="center"/>
              <w:rPr>
                <w:b/>
                <w:bCs/>
                <w:color w:val="auto"/>
                <w:sz w:val="18"/>
                <w:szCs w:val="18"/>
              </w:rPr>
            </w:pPr>
            <w:r w:rsidRPr="00CE1A25">
              <w:rPr>
                <w:color w:val="auto"/>
              </w:rPr>
              <w:t>25</w:t>
            </w:r>
          </w:p>
        </w:tc>
      </w:tr>
      <w:tr w:rsidR="00572731" w:rsidRPr="00CE1A25" w14:paraId="5937EED1" w14:textId="77777777" w:rsidTr="00984A57">
        <w:trPr>
          <w:trHeight w:val="350"/>
        </w:trPr>
        <w:tc>
          <w:tcPr>
            <w:tcW w:w="4815" w:type="dxa"/>
            <w:shd w:val="clear" w:color="auto" w:fill="D9D9D9" w:themeFill="background1" w:themeFillShade="D9"/>
            <w:noWrap/>
            <w:vAlign w:val="center"/>
          </w:tcPr>
          <w:p w14:paraId="539FBFC9" w14:textId="0F72D302" w:rsidR="00572731" w:rsidRPr="00CE1A25" w:rsidRDefault="00572731" w:rsidP="00572731">
            <w:pPr>
              <w:rPr>
                <w:b/>
                <w:bCs/>
                <w:color w:val="auto"/>
                <w:sz w:val="18"/>
                <w:szCs w:val="18"/>
              </w:rPr>
            </w:pPr>
            <w:r w:rsidRPr="00CE1A25">
              <w:rPr>
                <w:rFonts w:cs="Arial"/>
                <w:color w:val="auto"/>
                <w:sz w:val="18"/>
                <w:szCs w:val="18"/>
              </w:rPr>
              <w:t>Number of nursing hours per resident per week</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D678C" w14:textId="7E63F00E" w:rsidR="00572731" w:rsidRPr="00CE1A25" w:rsidRDefault="00572731" w:rsidP="00572731">
            <w:pPr>
              <w:jc w:val="center"/>
              <w:rPr>
                <w:b/>
                <w:bCs/>
                <w:color w:val="auto"/>
                <w:sz w:val="18"/>
                <w:szCs w:val="18"/>
              </w:rPr>
            </w:pPr>
            <w:r w:rsidRPr="00CE1A25">
              <w:rPr>
                <w:color w:val="auto"/>
              </w:rPr>
              <w:t>-</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5CA446A" w14:textId="5AFD42D8" w:rsidR="00572731" w:rsidRPr="00CE1A25" w:rsidRDefault="00572731" w:rsidP="00572731">
            <w:pPr>
              <w:jc w:val="center"/>
              <w:rPr>
                <w:b/>
                <w:bCs/>
                <w:color w:val="auto"/>
                <w:sz w:val="18"/>
                <w:szCs w:val="18"/>
              </w:rPr>
            </w:pPr>
            <w:r w:rsidRPr="00CE1A25">
              <w:rPr>
                <w:color w:val="auto"/>
              </w:rPr>
              <w:t>-</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BAF9F8D" w14:textId="40FA38C0" w:rsidR="00572731" w:rsidRPr="00CE1A25" w:rsidRDefault="00572731" w:rsidP="00572731">
            <w:pPr>
              <w:jc w:val="center"/>
              <w:rPr>
                <w:b/>
                <w:bCs/>
                <w:color w:val="auto"/>
                <w:sz w:val="18"/>
                <w:szCs w:val="18"/>
              </w:rPr>
            </w:pPr>
            <w:r w:rsidRPr="00CE1A25">
              <w:rPr>
                <w:color w:val="auto"/>
              </w:rPr>
              <w:t>14</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B88C69A" w14:textId="5A60073F" w:rsidR="00572731" w:rsidRPr="00CE1A25" w:rsidRDefault="00572731" w:rsidP="00572731">
            <w:pPr>
              <w:jc w:val="center"/>
              <w:rPr>
                <w:b/>
                <w:bCs/>
                <w:color w:val="auto"/>
                <w:sz w:val="18"/>
                <w:szCs w:val="18"/>
              </w:rPr>
            </w:pPr>
            <w:r w:rsidRPr="00CE1A25">
              <w:rPr>
                <w:color w:val="auto"/>
              </w:rPr>
              <w:t>10</w:t>
            </w:r>
          </w:p>
        </w:tc>
      </w:tr>
      <w:tr w:rsidR="00572731" w:rsidRPr="00CE1A25" w14:paraId="273127A5" w14:textId="77777777" w:rsidTr="00984A57">
        <w:trPr>
          <w:trHeight w:val="350"/>
        </w:trPr>
        <w:tc>
          <w:tcPr>
            <w:tcW w:w="4815" w:type="dxa"/>
            <w:shd w:val="clear" w:color="auto" w:fill="D9D9D9" w:themeFill="background1" w:themeFillShade="D9"/>
            <w:noWrap/>
            <w:vAlign w:val="center"/>
          </w:tcPr>
          <w:p w14:paraId="2C701867" w14:textId="30C2074E" w:rsidR="00572731" w:rsidRPr="00CE1A25" w:rsidRDefault="00572731" w:rsidP="00572731">
            <w:pPr>
              <w:rPr>
                <w:b/>
                <w:bCs/>
                <w:color w:val="auto"/>
                <w:sz w:val="18"/>
                <w:szCs w:val="18"/>
              </w:rPr>
            </w:pPr>
            <w:r w:rsidRPr="00CE1A25">
              <w:rPr>
                <w:rFonts w:cs="Arial"/>
                <w:color w:val="auto"/>
                <w:sz w:val="18"/>
                <w:szCs w:val="18"/>
              </w:rPr>
              <w:t>Average carer basic pay per hour</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4EDC6" w14:textId="3102F280" w:rsidR="00572731" w:rsidRPr="00CE1A25" w:rsidRDefault="00572731" w:rsidP="00572731">
            <w:pPr>
              <w:jc w:val="center"/>
              <w:rPr>
                <w:b/>
                <w:bCs/>
                <w:color w:val="auto"/>
                <w:sz w:val="18"/>
                <w:szCs w:val="18"/>
              </w:rPr>
            </w:pPr>
            <w:r w:rsidRPr="00CE1A25">
              <w:rPr>
                <w:color w:val="auto"/>
              </w:rPr>
              <w:t>£11.47</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202B446" w14:textId="591DE094" w:rsidR="00572731" w:rsidRPr="00CE1A25" w:rsidRDefault="00572731" w:rsidP="00572731">
            <w:pPr>
              <w:jc w:val="center"/>
              <w:rPr>
                <w:b/>
                <w:bCs/>
                <w:color w:val="auto"/>
                <w:sz w:val="18"/>
                <w:szCs w:val="18"/>
              </w:rPr>
            </w:pPr>
            <w:r w:rsidRPr="00CE1A25">
              <w:rPr>
                <w:color w:val="auto"/>
              </w:rPr>
              <w:t>£11.35</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CCAB820" w14:textId="6A3D83ED" w:rsidR="00572731" w:rsidRPr="00CE1A25" w:rsidRDefault="00572731" w:rsidP="00572731">
            <w:pPr>
              <w:jc w:val="center"/>
              <w:rPr>
                <w:b/>
                <w:bCs/>
                <w:color w:val="auto"/>
                <w:sz w:val="18"/>
                <w:szCs w:val="18"/>
              </w:rPr>
            </w:pPr>
            <w:r w:rsidRPr="00CE1A25">
              <w:rPr>
                <w:color w:val="auto"/>
              </w:rPr>
              <w:t>£10.29</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8065D2B" w14:textId="54FB0618" w:rsidR="00572731" w:rsidRPr="00CE1A25" w:rsidRDefault="00572731" w:rsidP="00572731">
            <w:pPr>
              <w:jc w:val="center"/>
              <w:rPr>
                <w:b/>
                <w:bCs/>
                <w:color w:val="auto"/>
                <w:sz w:val="18"/>
                <w:szCs w:val="18"/>
              </w:rPr>
            </w:pPr>
            <w:r w:rsidRPr="00CE1A25">
              <w:rPr>
                <w:color w:val="auto"/>
              </w:rPr>
              <w:t>£10.12</w:t>
            </w:r>
          </w:p>
        </w:tc>
      </w:tr>
      <w:tr w:rsidR="00572731" w:rsidRPr="00CE1A25" w14:paraId="66B25237" w14:textId="77777777" w:rsidTr="00984A57">
        <w:trPr>
          <w:trHeight w:val="350"/>
        </w:trPr>
        <w:tc>
          <w:tcPr>
            <w:tcW w:w="4815" w:type="dxa"/>
            <w:shd w:val="clear" w:color="auto" w:fill="D9D9D9" w:themeFill="background1" w:themeFillShade="D9"/>
            <w:noWrap/>
            <w:vAlign w:val="center"/>
          </w:tcPr>
          <w:p w14:paraId="23CAA382" w14:textId="56AEC005" w:rsidR="00572731" w:rsidRPr="00CE1A25" w:rsidRDefault="00572731" w:rsidP="00572731">
            <w:pPr>
              <w:rPr>
                <w:b/>
                <w:bCs/>
                <w:color w:val="auto"/>
                <w:sz w:val="18"/>
                <w:szCs w:val="18"/>
              </w:rPr>
            </w:pPr>
            <w:r w:rsidRPr="00CE1A25">
              <w:rPr>
                <w:rFonts w:cs="Arial"/>
                <w:color w:val="auto"/>
                <w:sz w:val="18"/>
                <w:szCs w:val="18"/>
              </w:rPr>
              <w:t>Average nurse basic pay per hour</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F7F67" w14:textId="3D25AF3F" w:rsidR="00572731" w:rsidRPr="00CE1A25" w:rsidRDefault="00572731" w:rsidP="00572731">
            <w:pPr>
              <w:jc w:val="center"/>
              <w:rPr>
                <w:b/>
                <w:bCs/>
                <w:color w:val="auto"/>
                <w:sz w:val="18"/>
                <w:szCs w:val="18"/>
              </w:rPr>
            </w:pPr>
            <w:r w:rsidRPr="00CE1A25">
              <w:rPr>
                <w:color w:val="auto"/>
              </w:rPr>
              <w:t>-</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1F76FB5" w14:textId="69C0C645" w:rsidR="00572731" w:rsidRPr="00CE1A25" w:rsidRDefault="00572731" w:rsidP="00572731">
            <w:pPr>
              <w:jc w:val="center"/>
              <w:rPr>
                <w:b/>
                <w:bCs/>
                <w:color w:val="auto"/>
                <w:sz w:val="18"/>
                <w:szCs w:val="18"/>
              </w:rPr>
            </w:pPr>
            <w:r w:rsidRPr="00CE1A25">
              <w:rPr>
                <w:color w:val="auto"/>
              </w:rPr>
              <w:t>-</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C852BB3" w14:textId="238342B9" w:rsidR="00572731" w:rsidRPr="00CE1A25" w:rsidRDefault="00572731" w:rsidP="00572731">
            <w:pPr>
              <w:jc w:val="center"/>
              <w:rPr>
                <w:b/>
                <w:bCs/>
                <w:color w:val="auto"/>
                <w:sz w:val="18"/>
                <w:szCs w:val="18"/>
              </w:rPr>
            </w:pPr>
            <w:r w:rsidRPr="00CE1A25">
              <w:rPr>
                <w:color w:val="auto"/>
              </w:rPr>
              <w:t>£16.15</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BEA4DA9" w14:textId="7DA37E22" w:rsidR="00572731" w:rsidRPr="00CE1A25" w:rsidRDefault="00572731" w:rsidP="00572731">
            <w:pPr>
              <w:jc w:val="center"/>
              <w:rPr>
                <w:b/>
                <w:bCs/>
                <w:color w:val="auto"/>
                <w:sz w:val="18"/>
                <w:szCs w:val="18"/>
              </w:rPr>
            </w:pPr>
            <w:r w:rsidRPr="00CE1A25">
              <w:rPr>
                <w:color w:val="auto"/>
              </w:rPr>
              <w:t>£18.50</w:t>
            </w:r>
          </w:p>
        </w:tc>
      </w:tr>
      <w:tr w:rsidR="00572731" w:rsidRPr="00CE1A25" w14:paraId="68D6A495" w14:textId="77777777" w:rsidTr="00762013">
        <w:trPr>
          <w:trHeight w:val="350"/>
        </w:trPr>
        <w:tc>
          <w:tcPr>
            <w:tcW w:w="4815" w:type="dxa"/>
            <w:shd w:val="clear" w:color="auto" w:fill="D9D9D9" w:themeFill="background1" w:themeFillShade="D9"/>
            <w:noWrap/>
            <w:vAlign w:val="center"/>
          </w:tcPr>
          <w:p w14:paraId="6208F1B4" w14:textId="495675F5" w:rsidR="00572731" w:rsidRPr="00CE1A25" w:rsidRDefault="00572731" w:rsidP="00572731">
            <w:pPr>
              <w:rPr>
                <w:b/>
                <w:bCs/>
                <w:color w:val="auto"/>
                <w:sz w:val="18"/>
                <w:szCs w:val="18"/>
              </w:rPr>
            </w:pPr>
            <w:r w:rsidRPr="00CE1A25">
              <w:rPr>
                <w:rFonts w:cs="Arial"/>
                <w:color w:val="auto"/>
                <w:sz w:val="18"/>
                <w:szCs w:val="18"/>
              </w:rPr>
              <w:t>Average occupancy as a percentage of active beds</w:t>
            </w:r>
          </w:p>
        </w:tc>
        <w:tc>
          <w:tcPr>
            <w:tcW w:w="2283" w:type="dxa"/>
            <w:noWrap/>
            <w:vAlign w:val="center"/>
          </w:tcPr>
          <w:p w14:paraId="362E9A48" w14:textId="77777777" w:rsidR="00572731" w:rsidRPr="00CE1A25" w:rsidRDefault="00572731" w:rsidP="00572731">
            <w:pPr>
              <w:jc w:val="center"/>
              <w:rPr>
                <w:color w:val="auto"/>
              </w:rPr>
            </w:pPr>
            <w:r w:rsidRPr="00CE1A25">
              <w:rPr>
                <w:color w:val="auto"/>
              </w:rPr>
              <w:t>85.8%</w:t>
            </w:r>
          </w:p>
          <w:p w14:paraId="0C2D6B8C" w14:textId="77777777" w:rsidR="00572731" w:rsidRPr="00CE1A25" w:rsidRDefault="00572731" w:rsidP="00572731">
            <w:pPr>
              <w:jc w:val="center"/>
              <w:rPr>
                <w:b/>
                <w:bCs/>
                <w:color w:val="auto"/>
                <w:sz w:val="18"/>
                <w:szCs w:val="18"/>
              </w:rPr>
            </w:pPr>
          </w:p>
        </w:tc>
        <w:tc>
          <w:tcPr>
            <w:tcW w:w="2283" w:type="dxa"/>
            <w:noWrap/>
            <w:vAlign w:val="center"/>
          </w:tcPr>
          <w:p w14:paraId="08424B57" w14:textId="77777777" w:rsidR="00572731" w:rsidRPr="00CE1A25" w:rsidRDefault="00572731" w:rsidP="00572731">
            <w:pPr>
              <w:jc w:val="center"/>
              <w:rPr>
                <w:color w:val="auto"/>
              </w:rPr>
            </w:pPr>
            <w:r w:rsidRPr="00CE1A25">
              <w:rPr>
                <w:color w:val="auto"/>
              </w:rPr>
              <w:t>85.8%</w:t>
            </w:r>
          </w:p>
          <w:p w14:paraId="45839594" w14:textId="77777777" w:rsidR="00572731" w:rsidRPr="00CE1A25" w:rsidRDefault="00572731" w:rsidP="00572731">
            <w:pPr>
              <w:jc w:val="center"/>
              <w:rPr>
                <w:b/>
                <w:bCs/>
                <w:color w:val="auto"/>
                <w:sz w:val="18"/>
                <w:szCs w:val="18"/>
              </w:rPr>
            </w:pPr>
          </w:p>
        </w:tc>
        <w:tc>
          <w:tcPr>
            <w:tcW w:w="2283" w:type="dxa"/>
            <w:noWrap/>
            <w:vAlign w:val="center"/>
          </w:tcPr>
          <w:p w14:paraId="49464058" w14:textId="77777777" w:rsidR="00572731" w:rsidRPr="00CE1A25" w:rsidRDefault="00572731" w:rsidP="00572731">
            <w:pPr>
              <w:jc w:val="center"/>
              <w:rPr>
                <w:color w:val="auto"/>
              </w:rPr>
            </w:pPr>
            <w:r w:rsidRPr="00CE1A25">
              <w:rPr>
                <w:color w:val="auto"/>
              </w:rPr>
              <w:t>85.8%</w:t>
            </w:r>
          </w:p>
          <w:p w14:paraId="640E1FB0" w14:textId="77777777" w:rsidR="00572731" w:rsidRPr="00CE1A25" w:rsidRDefault="00572731" w:rsidP="00572731">
            <w:pPr>
              <w:jc w:val="center"/>
              <w:rPr>
                <w:b/>
                <w:bCs/>
                <w:color w:val="auto"/>
                <w:sz w:val="18"/>
                <w:szCs w:val="18"/>
              </w:rPr>
            </w:pPr>
          </w:p>
        </w:tc>
        <w:tc>
          <w:tcPr>
            <w:tcW w:w="2284" w:type="dxa"/>
            <w:noWrap/>
            <w:vAlign w:val="center"/>
          </w:tcPr>
          <w:p w14:paraId="72069D5B" w14:textId="77777777" w:rsidR="00572731" w:rsidRPr="00CE1A25" w:rsidRDefault="00572731" w:rsidP="00572731">
            <w:pPr>
              <w:jc w:val="center"/>
              <w:rPr>
                <w:color w:val="auto"/>
              </w:rPr>
            </w:pPr>
            <w:r w:rsidRPr="00CE1A25">
              <w:rPr>
                <w:color w:val="auto"/>
              </w:rPr>
              <w:t>85.8%</w:t>
            </w:r>
          </w:p>
          <w:p w14:paraId="0CE28360" w14:textId="77777777" w:rsidR="00572731" w:rsidRPr="00CE1A25" w:rsidRDefault="00572731" w:rsidP="00572731">
            <w:pPr>
              <w:jc w:val="center"/>
              <w:rPr>
                <w:b/>
                <w:bCs/>
                <w:color w:val="auto"/>
                <w:sz w:val="18"/>
                <w:szCs w:val="18"/>
              </w:rPr>
            </w:pPr>
          </w:p>
        </w:tc>
      </w:tr>
      <w:tr w:rsidR="00572731" w:rsidRPr="00CE1A25" w14:paraId="5CE943F6" w14:textId="77777777" w:rsidTr="008C174C">
        <w:trPr>
          <w:trHeight w:val="350"/>
        </w:trPr>
        <w:tc>
          <w:tcPr>
            <w:tcW w:w="4815" w:type="dxa"/>
            <w:shd w:val="clear" w:color="auto" w:fill="D9D9D9" w:themeFill="background1" w:themeFillShade="D9"/>
            <w:noWrap/>
            <w:vAlign w:val="center"/>
          </w:tcPr>
          <w:p w14:paraId="0D74D680" w14:textId="14F81CA3" w:rsidR="00572731" w:rsidRPr="00CE1A25" w:rsidRDefault="00572731" w:rsidP="00572731">
            <w:pPr>
              <w:rPr>
                <w:b/>
                <w:bCs/>
                <w:color w:val="auto"/>
                <w:sz w:val="18"/>
                <w:szCs w:val="18"/>
              </w:rPr>
            </w:pPr>
            <w:r w:rsidRPr="00CE1A25">
              <w:rPr>
                <w:rFonts w:cs="Arial"/>
                <w:color w:val="auto"/>
                <w:sz w:val="18"/>
                <w:szCs w:val="18"/>
              </w:rPr>
              <w:t>Freehold valuation per bed</w:t>
            </w:r>
          </w:p>
        </w:tc>
        <w:tc>
          <w:tcPr>
            <w:tcW w:w="2283" w:type="dxa"/>
            <w:noWrap/>
            <w:vAlign w:val="center"/>
          </w:tcPr>
          <w:p w14:paraId="2C8B0309" w14:textId="77777777" w:rsidR="00572731" w:rsidRPr="00CE1A25" w:rsidRDefault="00572731" w:rsidP="00572731">
            <w:pPr>
              <w:jc w:val="center"/>
              <w:rPr>
                <w:color w:val="auto"/>
              </w:rPr>
            </w:pPr>
            <w:r w:rsidRPr="00CE1A25">
              <w:rPr>
                <w:color w:val="auto"/>
              </w:rPr>
              <w:t>£51,120.3</w:t>
            </w:r>
          </w:p>
          <w:p w14:paraId="5655B554" w14:textId="77777777" w:rsidR="00572731" w:rsidRPr="00CE1A25" w:rsidRDefault="00572731" w:rsidP="00572731">
            <w:pPr>
              <w:jc w:val="center"/>
              <w:rPr>
                <w:b/>
                <w:bCs/>
                <w:color w:val="auto"/>
                <w:sz w:val="18"/>
                <w:szCs w:val="18"/>
              </w:rPr>
            </w:pPr>
          </w:p>
        </w:tc>
        <w:tc>
          <w:tcPr>
            <w:tcW w:w="2283" w:type="dxa"/>
            <w:noWrap/>
            <w:vAlign w:val="center"/>
          </w:tcPr>
          <w:p w14:paraId="3A24BAFE" w14:textId="77777777" w:rsidR="00572731" w:rsidRPr="00CE1A25" w:rsidRDefault="00572731" w:rsidP="00572731">
            <w:pPr>
              <w:jc w:val="center"/>
              <w:rPr>
                <w:color w:val="auto"/>
              </w:rPr>
            </w:pPr>
            <w:r w:rsidRPr="00CE1A25">
              <w:rPr>
                <w:color w:val="auto"/>
              </w:rPr>
              <w:t>£51,120.3</w:t>
            </w:r>
          </w:p>
          <w:p w14:paraId="311A46A3" w14:textId="77777777" w:rsidR="00572731" w:rsidRPr="00CE1A25" w:rsidRDefault="00572731" w:rsidP="00572731">
            <w:pPr>
              <w:jc w:val="center"/>
              <w:rPr>
                <w:b/>
                <w:bCs/>
                <w:color w:val="auto"/>
                <w:sz w:val="18"/>
                <w:szCs w:val="18"/>
              </w:rPr>
            </w:pPr>
          </w:p>
        </w:tc>
        <w:tc>
          <w:tcPr>
            <w:tcW w:w="2283" w:type="dxa"/>
            <w:noWrap/>
            <w:vAlign w:val="center"/>
          </w:tcPr>
          <w:p w14:paraId="02021EF9" w14:textId="77777777" w:rsidR="00572731" w:rsidRPr="00CE1A25" w:rsidRDefault="00572731" w:rsidP="00572731">
            <w:pPr>
              <w:jc w:val="center"/>
              <w:rPr>
                <w:color w:val="auto"/>
              </w:rPr>
            </w:pPr>
            <w:r w:rsidRPr="00CE1A25">
              <w:rPr>
                <w:color w:val="auto"/>
              </w:rPr>
              <w:t>£51,120.3</w:t>
            </w:r>
          </w:p>
          <w:p w14:paraId="58149D00" w14:textId="77777777" w:rsidR="00572731" w:rsidRPr="00CE1A25" w:rsidRDefault="00572731" w:rsidP="00572731">
            <w:pPr>
              <w:jc w:val="center"/>
              <w:rPr>
                <w:b/>
                <w:bCs/>
                <w:color w:val="auto"/>
                <w:sz w:val="18"/>
                <w:szCs w:val="18"/>
              </w:rPr>
            </w:pPr>
          </w:p>
        </w:tc>
        <w:tc>
          <w:tcPr>
            <w:tcW w:w="2284" w:type="dxa"/>
            <w:noWrap/>
            <w:vAlign w:val="center"/>
          </w:tcPr>
          <w:p w14:paraId="30BE8FB8" w14:textId="77777777" w:rsidR="00572731" w:rsidRPr="00CE1A25" w:rsidRDefault="00572731" w:rsidP="00572731">
            <w:pPr>
              <w:jc w:val="center"/>
              <w:rPr>
                <w:color w:val="auto"/>
              </w:rPr>
            </w:pPr>
            <w:r w:rsidRPr="00CE1A25">
              <w:rPr>
                <w:color w:val="auto"/>
              </w:rPr>
              <w:t>£51,120.3</w:t>
            </w:r>
          </w:p>
          <w:p w14:paraId="29D7F546" w14:textId="77777777" w:rsidR="00572731" w:rsidRPr="00CE1A25" w:rsidRDefault="00572731" w:rsidP="00572731">
            <w:pPr>
              <w:jc w:val="center"/>
              <w:rPr>
                <w:b/>
                <w:bCs/>
                <w:color w:val="auto"/>
                <w:sz w:val="18"/>
                <w:szCs w:val="18"/>
              </w:rPr>
            </w:pPr>
          </w:p>
        </w:tc>
      </w:tr>
    </w:tbl>
    <w:p w14:paraId="39986AE3" w14:textId="77777777" w:rsidR="00EF4D43" w:rsidRPr="00CE1A25" w:rsidRDefault="00EF4D43" w:rsidP="00EF4D43">
      <w:pPr>
        <w:rPr>
          <w:color w:val="auto"/>
          <w:sz w:val="18"/>
          <w:szCs w:val="18"/>
          <w:lang w:eastAsia="en-GB"/>
        </w:rPr>
      </w:pPr>
      <w:r w:rsidRPr="00CE1A25">
        <w:rPr>
          <w:color w:val="auto"/>
          <w:sz w:val="18"/>
          <w:szCs w:val="18"/>
        </w:rPr>
        <w:t xml:space="preserve">All data derived from toolkit responses except for return on capital and return on operations, which have been superseded by the council based on a 6% annual return on capital for premises and a 10% mark-up on operating and head office costs for return on operations </w:t>
      </w:r>
    </w:p>
    <w:p w14:paraId="50286244" w14:textId="5917A64E" w:rsidR="00FD122B" w:rsidRPr="00CE1A25" w:rsidRDefault="00FD122B" w:rsidP="00FD122B">
      <w:pPr>
        <w:pStyle w:val="TABLES"/>
        <w:rPr>
          <w:color w:val="auto"/>
        </w:rPr>
      </w:pPr>
      <w:r w:rsidRPr="00CE1A25">
        <w:rPr>
          <w:color w:val="auto"/>
        </w:rPr>
        <w:t xml:space="preserve">Table </w:t>
      </w:r>
      <w:r>
        <w:rPr>
          <w:color w:val="auto"/>
        </w:rPr>
        <w:t xml:space="preserve">5 </w:t>
      </w:r>
      <w:r w:rsidR="003A10F2">
        <w:rPr>
          <w:color w:val="auto"/>
        </w:rPr>
        <w:t>Lower Quartile</w:t>
      </w:r>
      <w:r>
        <w:rPr>
          <w:color w:val="auto"/>
        </w:rPr>
        <w:t>-</w:t>
      </w:r>
      <w:r w:rsidR="00A5597C">
        <w:rPr>
          <w:color w:val="auto"/>
        </w:rPr>
        <w:t xml:space="preserve"> C</w:t>
      </w:r>
      <w:r w:rsidRPr="00CE1A25">
        <w:rPr>
          <w:color w:val="auto"/>
        </w:rPr>
        <w:t>osts of care homes (65+) located in Sheffield, £ per week at 2022/23 prices</w:t>
      </w:r>
    </w:p>
    <w:tbl>
      <w:tblPr>
        <w:tblStyle w:val="TableGrid"/>
        <w:tblW w:w="0" w:type="auto"/>
        <w:tblLayout w:type="fixed"/>
        <w:tblLook w:val="04A0" w:firstRow="1" w:lastRow="0" w:firstColumn="1" w:lastColumn="0" w:noHBand="0" w:noVBand="1"/>
      </w:tblPr>
      <w:tblGrid>
        <w:gridCol w:w="4815"/>
        <w:gridCol w:w="2283"/>
        <w:gridCol w:w="2283"/>
        <w:gridCol w:w="2283"/>
        <w:gridCol w:w="2284"/>
      </w:tblGrid>
      <w:tr w:rsidR="00FD122B" w:rsidRPr="00CE1A25" w14:paraId="76C2D17A" w14:textId="77777777" w:rsidTr="005E7FD8">
        <w:trPr>
          <w:trHeight w:val="610"/>
        </w:trPr>
        <w:tc>
          <w:tcPr>
            <w:tcW w:w="4815" w:type="dxa"/>
            <w:shd w:val="clear" w:color="auto" w:fill="D9D9D9" w:themeFill="background1" w:themeFillShade="D9"/>
            <w:hideMark/>
          </w:tcPr>
          <w:p w14:paraId="384EB4BA" w14:textId="77777777" w:rsidR="00FD122B" w:rsidRPr="00CE1A25" w:rsidRDefault="00FD122B" w:rsidP="005E7FD8">
            <w:pPr>
              <w:rPr>
                <w:color w:val="auto"/>
                <w:sz w:val="18"/>
                <w:szCs w:val="18"/>
              </w:rPr>
            </w:pPr>
            <w:r w:rsidRPr="00CE1A25">
              <w:rPr>
                <w:color w:val="auto"/>
                <w:sz w:val="18"/>
                <w:szCs w:val="18"/>
              </w:rPr>
              <w:t>Cost of Care exercise results - £ per resident per week</w:t>
            </w:r>
          </w:p>
        </w:tc>
        <w:tc>
          <w:tcPr>
            <w:tcW w:w="2283" w:type="dxa"/>
            <w:vAlign w:val="bottom"/>
            <w:hideMark/>
          </w:tcPr>
          <w:p w14:paraId="3E781E3C"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without nursing</w:t>
            </w:r>
          </w:p>
        </w:tc>
        <w:tc>
          <w:tcPr>
            <w:tcW w:w="2283" w:type="dxa"/>
            <w:vAlign w:val="bottom"/>
            <w:hideMark/>
          </w:tcPr>
          <w:p w14:paraId="212CB565"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without nursing, enhanced needs</w:t>
            </w:r>
          </w:p>
        </w:tc>
        <w:tc>
          <w:tcPr>
            <w:tcW w:w="2283" w:type="dxa"/>
            <w:vAlign w:val="bottom"/>
            <w:hideMark/>
          </w:tcPr>
          <w:p w14:paraId="4B37B61D"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 nursing</w:t>
            </w:r>
          </w:p>
        </w:tc>
        <w:tc>
          <w:tcPr>
            <w:tcW w:w="2284" w:type="dxa"/>
            <w:vAlign w:val="bottom"/>
            <w:hideMark/>
          </w:tcPr>
          <w:p w14:paraId="335248E2"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 nursing, enhanced needs</w:t>
            </w:r>
          </w:p>
        </w:tc>
      </w:tr>
      <w:tr w:rsidR="00FD122B" w:rsidRPr="00CE1A25" w14:paraId="4A0D4C0B" w14:textId="77777777" w:rsidTr="00A5597C">
        <w:trPr>
          <w:trHeight w:val="263"/>
        </w:trPr>
        <w:tc>
          <w:tcPr>
            <w:tcW w:w="4815" w:type="dxa"/>
            <w:shd w:val="clear" w:color="auto" w:fill="D9D9D9" w:themeFill="background1" w:themeFillShade="D9"/>
          </w:tcPr>
          <w:p w14:paraId="2AEB2B2F" w14:textId="77777777" w:rsidR="00FD122B" w:rsidRPr="00CE1A25" w:rsidRDefault="00FD122B" w:rsidP="005E7FD8">
            <w:pPr>
              <w:rPr>
                <w:color w:val="auto"/>
                <w:sz w:val="18"/>
                <w:szCs w:val="18"/>
              </w:rPr>
            </w:pPr>
          </w:p>
        </w:tc>
        <w:tc>
          <w:tcPr>
            <w:tcW w:w="9133" w:type="dxa"/>
            <w:gridSpan w:val="4"/>
            <w:tcBorders>
              <w:bottom w:val="single" w:sz="4" w:space="0" w:color="auto"/>
            </w:tcBorders>
            <w:vAlign w:val="center"/>
          </w:tcPr>
          <w:p w14:paraId="1AE47947" w14:textId="081B29E2" w:rsidR="00FD122B" w:rsidRPr="00CE1A25" w:rsidRDefault="00FD122B" w:rsidP="005E7FD8">
            <w:pPr>
              <w:jc w:val="center"/>
              <w:rPr>
                <w:color w:val="auto"/>
                <w:sz w:val="18"/>
                <w:szCs w:val="18"/>
              </w:rPr>
            </w:pPr>
            <w:r w:rsidRPr="00CE1A25">
              <w:rPr>
                <w:color w:val="auto"/>
                <w:sz w:val="18"/>
                <w:szCs w:val="18"/>
              </w:rPr>
              <w:t xml:space="preserve">(The numbers in brackets represent the number of fully or partially validated toolkits from which the given cost line </w:t>
            </w:r>
            <w:r w:rsidR="006F1223">
              <w:rPr>
                <w:color w:val="auto"/>
                <w:sz w:val="18"/>
                <w:szCs w:val="18"/>
              </w:rPr>
              <w:t>quartile</w:t>
            </w:r>
            <w:r w:rsidRPr="00CE1A25">
              <w:rPr>
                <w:color w:val="auto"/>
                <w:sz w:val="18"/>
                <w:szCs w:val="18"/>
              </w:rPr>
              <w:t xml:space="preserve"> was derived)</w:t>
            </w:r>
          </w:p>
        </w:tc>
      </w:tr>
      <w:tr w:rsidR="00A5597C" w:rsidRPr="00CE1A25" w14:paraId="664AEB00" w14:textId="77777777" w:rsidTr="00A5597C">
        <w:trPr>
          <w:trHeight w:val="411"/>
        </w:trPr>
        <w:tc>
          <w:tcPr>
            <w:tcW w:w="4815" w:type="dxa"/>
            <w:shd w:val="clear" w:color="auto" w:fill="D9D9D9" w:themeFill="background1" w:themeFillShade="D9"/>
            <w:noWrap/>
            <w:hideMark/>
          </w:tcPr>
          <w:p w14:paraId="7B2B251F" w14:textId="77777777" w:rsidR="00A5597C" w:rsidRPr="00CE1A25" w:rsidRDefault="00A5597C" w:rsidP="00A5597C">
            <w:pPr>
              <w:rPr>
                <w:b/>
                <w:bCs/>
                <w:color w:val="auto"/>
                <w:sz w:val="18"/>
                <w:szCs w:val="18"/>
              </w:rPr>
            </w:pPr>
            <w:r w:rsidRPr="00CE1A25">
              <w:rPr>
                <w:b/>
                <w:bCs/>
                <w:color w:val="auto"/>
                <w:sz w:val="18"/>
                <w:szCs w:val="18"/>
              </w:rPr>
              <w:t>Staffing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C2261" w14:textId="6B1985F6" w:rsidR="00A5597C" w:rsidRPr="00CE1A25" w:rsidRDefault="00A5597C" w:rsidP="00A5597C">
            <w:pPr>
              <w:jc w:val="right"/>
              <w:rPr>
                <w:b/>
                <w:bCs/>
                <w:color w:val="auto"/>
                <w:sz w:val="18"/>
                <w:szCs w:val="18"/>
              </w:rPr>
            </w:pPr>
            <w:r>
              <w:rPr>
                <w:b/>
                <w:bCs/>
                <w:color w:val="000000"/>
              </w:rPr>
              <w:t xml:space="preserve">               385.66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AFFB07D" w14:textId="087434F7" w:rsidR="00A5597C" w:rsidRPr="00CE1A25" w:rsidRDefault="00A5597C" w:rsidP="00A5597C">
            <w:pPr>
              <w:jc w:val="right"/>
              <w:rPr>
                <w:b/>
                <w:bCs/>
                <w:color w:val="auto"/>
                <w:sz w:val="18"/>
                <w:szCs w:val="18"/>
              </w:rPr>
            </w:pPr>
            <w:r>
              <w:rPr>
                <w:b/>
                <w:bCs/>
                <w:color w:val="000000"/>
              </w:rPr>
              <w:t xml:space="preserve">          398.79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E228FA9" w14:textId="16D53318" w:rsidR="00A5597C" w:rsidRPr="00CE1A25" w:rsidRDefault="00A5597C" w:rsidP="00A5597C">
            <w:pPr>
              <w:jc w:val="right"/>
              <w:rPr>
                <w:b/>
                <w:bCs/>
                <w:color w:val="auto"/>
                <w:sz w:val="18"/>
                <w:szCs w:val="18"/>
              </w:rPr>
            </w:pPr>
            <w:r>
              <w:rPr>
                <w:b/>
                <w:bCs/>
                <w:color w:val="000000"/>
              </w:rPr>
              <w:t xml:space="preserve">          560.18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EEE47F3" w14:textId="3C14B9AE" w:rsidR="00A5597C" w:rsidRPr="00CE1A25" w:rsidRDefault="00A5597C" w:rsidP="00A5597C">
            <w:pPr>
              <w:jc w:val="right"/>
              <w:rPr>
                <w:b/>
                <w:bCs/>
                <w:color w:val="auto"/>
                <w:sz w:val="18"/>
                <w:szCs w:val="18"/>
              </w:rPr>
            </w:pPr>
            <w:r>
              <w:rPr>
                <w:b/>
                <w:bCs/>
                <w:color w:val="000000"/>
              </w:rPr>
              <w:t xml:space="preserve">          604.29 </w:t>
            </w:r>
          </w:p>
        </w:tc>
      </w:tr>
      <w:tr w:rsidR="00A5597C" w:rsidRPr="00CE1A25" w14:paraId="2AF417BB" w14:textId="77777777" w:rsidTr="00A5597C">
        <w:trPr>
          <w:trHeight w:val="300"/>
        </w:trPr>
        <w:tc>
          <w:tcPr>
            <w:tcW w:w="4815" w:type="dxa"/>
            <w:shd w:val="clear" w:color="auto" w:fill="D9D9D9" w:themeFill="background1" w:themeFillShade="D9"/>
            <w:noWrap/>
            <w:hideMark/>
          </w:tcPr>
          <w:p w14:paraId="632641E7" w14:textId="77777777" w:rsidR="00A5597C" w:rsidRPr="00CE1A25" w:rsidRDefault="00A5597C" w:rsidP="00A5597C">
            <w:pPr>
              <w:rPr>
                <w:color w:val="auto"/>
                <w:sz w:val="18"/>
                <w:szCs w:val="18"/>
              </w:rPr>
            </w:pPr>
            <w:r w:rsidRPr="00CE1A25">
              <w:rPr>
                <w:color w:val="auto"/>
                <w:sz w:val="18"/>
                <w:szCs w:val="18"/>
              </w:rPr>
              <w:t>Nursing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B3221" w14:textId="4140871E"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17EF574" w14:textId="19DB895C"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E9B3856" w14:textId="79FF0EA1" w:rsidR="00A5597C" w:rsidRPr="00CE1A25" w:rsidRDefault="00A5597C" w:rsidP="00A5597C">
            <w:pPr>
              <w:jc w:val="right"/>
              <w:rPr>
                <w:color w:val="auto"/>
                <w:sz w:val="18"/>
                <w:szCs w:val="18"/>
              </w:rPr>
            </w:pPr>
            <w:r>
              <w:rPr>
                <w:color w:val="000000"/>
              </w:rPr>
              <w:t xml:space="preserve"> 206.01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3CD02E0" w14:textId="02D0D7EB" w:rsidR="00A5597C" w:rsidRPr="00CE1A25" w:rsidRDefault="00A5597C" w:rsidP="00A5597C">
            <w:pPr>
              <w:jc w:val="right"/>
              <w:rPr>
                <w:color w:val="auto"/>
                <w:sz w:val="18"/>
                <w:szCs w:val="18"/>
              </w:rPr>
            </w:pPr>
            <w:r>
              <w:rPr>
                <w:color w:val="000000"/>
              </w:rPr>
              <w:t xml:space="preserve"> 230.79    (13) </w:t>
            </w:r>
          </w:p>
        </w:tc>
      </w:tr>
      <w:tr w:rsidR="00A5597C" w:rsidRPr="00CE1A25" w14:paraId="5E2F8F04" w14:textId="77777777" w:rsidTr="00A5597C">
        <w:trPr>
          <w:trHeight w:val="300"/>
        </w:trPr>
        <w:tc>
          <w:tcPr>
            <w:tcW w:w="4815" w:type="dxa"/>
            <w:shd w:val="clear" w:color="auto" w:fill="D9D9D9" w:themeFill="background1" w:themeFillShade="D9"/>
            <w:noWrap/>
            <w:hideMark/>
          </w:tcPr>
          <w:p w14:paraId="713F17EE" w14:textId="77777777" w:rsidR="00A5597C" w:rsidRPr="00CE1A25" w:rsidRDefault="00A5597C" w:rsidP="00A5597C">
            <w:pPr>
              <w:rPr>
                <w:color w:val="auto"/>
                <w:sz w:val="18"/>
                <w:szCs w:val="18"/>
              </w:rPr>
            </w:pPr>
            <w:r w:rsidRPr="00CE1A25">
              <w:rPr>
                <w:color w:val="auto"/>
                <w:sz w:val="18"/>
                <w:szCs w:val="18"/>
              </w:rPr>
              <w:t>Care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5EBBE" w14:textId="63B7E204" w:rsidR="00A5597C" w:rsidRPr="00CE1A25" w:rsidRDefault="00A5597C" w:rsidP="00A5597C">
            <w:pPr>
              <w:jc w:val="right"/>
              <w:rPr>
                <w:color w:val="auto"/>
                <w:sz w:val="18"/>
                <w:szCs w:val="18"/>
              </w:rPr>
            </w:pPr>
            <w:r>
              <w:rPr>
                <w:color w:val="000000"/>
              </w:rPr>
              <w:t xml:space="preserve"> 287.22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8B18940" w14:textId="1CC81F92" w:rsidR="00A5597C" w:rsidRPr="00CE1A25" w:rsidRDefault="00A5597C" w:rsidP="00A5597C">
            <w:pPr>
              <w:jc w:val="right"/>
              <w:rPr>
                <w:color w:val="auto"/>
                <w:sz w:val="18"/>
                <w:szCs w:val="18"/>
              </w:rPr>
            </w:pPr>
            <w:r>
              <w:rPr>
                <w:color w:val="000000"/>
              </w:rPr>
              <w:t xml:space="preserve"> 300.35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DEB430E" w14:textId="14635555" w:rsidR="00A5597C" w:rsidRPr="00CE1A25" w:rsidRDefault="00A5597C" w:rsidP="00A5597C">
            <w:pPr>
              <w:jc w:val="right"/>
              <w:rPr>
                <w:color w:val="auto"/>
                <w:sz w:val="18"/>
                <w:szCs w:val="18"/>
              </w:rPr>
            </w:pPr>
            <w:r>
              <w:rPr>
                <w:color w:val="000000"/>
              </w:rPr>
              <w:t xml:space="preserve"> 255.73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5782BA8" w14:textId="7CAB623F" w:rsidR="00A5597C" w:rsidRPr="00CE1A25" w:rsidRDefault="00A5597C" w:rsidP="00A5597C">
            <w:pPr>
              <w:jc w:val="right"/>
              <w:rPr>
                <w:color w:val="auto"/>
                <w:sz w:val="18"/>
                <w:szCs w:val="18"/>
              </w:rPr>
            </w:pPr>
            <w:r>
              <w:rPr>
                <w:color w:val="000000"/>
              </w:rPr>
              <w:t xml:space="preserve"> 275.06       (11) </w:t>
            </w:r>
          </w:p>
        </w:tc>
      </w:tr>
      <w:tr w:rsidR="00A5597C" w:rsidRPr="00CE1A25" w14:paraId="52617BEA" w14:textId="77777777" w:rsidTr="00A5597C">
        <w:trPr>
          <w:trHeight w:val="300"/>
        </w:trPr>
        <w:tc>
          <w:tcPr>
            <w:tcW w:w="4815" w:type="dxa"/>
            <w:shd w:val="clear" w:color="auto" w:fill="D9D9D9" w:themeFill="background1" w:themeFillShade="D9"/>
            <w:noWrap/>
            <w:hideMark/>
          </w:tcPr>
          <w:p w14:paraId="618E7520" w14:textId="77777777" w:rsidR="00A5597C" w:rsidRPr="00CE1A25" w:rsidRDefault="00A5597C" w:rsidP="00A5597C">
            <w:pPr>
              <w:rPr>
                <w:color w:val="auto"/>
                <w:sz w:val="18"/>
                <w:szCs w:val="18"/>
              </w:rPr>
            </w:pPr>
            <w:r w:rsidRPr="00CE1A25">
              <w:rPr>
                <w:color w:val="auto"/>
                <w:sz w:val="18"/>
                <w:szCs w:val="18"/>
              </w:rPr>
              <w:t>Therapy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04350" w14:textId="4B8EA9A4"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393231D" w14:textId="43B67884"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EB6DB36" w14:textId="36C5128C" w:rsidR="00A5597C" w:rsidRPr="00CE1A25" w:rsidRDefault="00A5597C" w:rsidP="00A5597C">
            <w:pPr>
              <w:jc w:val="right"/>
              <w:rPr>
                <w:color w:val="auto"/>
                <w:sz w:val="18"/>
                <w:szCs w:val="18"/>
              </w:rPr>
            </w:pPr>
            <w:r>
              <w:rPr>
                <w:color w:val="000000"/>
              </w:rPr>
              <w:t xml:space="preserve"> -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80491FE" w14:textId="697BA45C" w:rsidR="00A5597C" w:rsidRPr="00CE1A25" w:rsidRDefault="00A5597C" w:rsidP="00A5597C">
            <w:pPr>
              <w:jc w:val="right"/>
              <w:rPr>
                <w:color w:val="auto"/>
                <w:sz w:val="18"/>
                <w:szCs w:val="18"/>
              </w:rPr>
            </w:pPr>
            <w:r>
              <w:rPr>
                <w:color w:val="000000"/>
              </w:rPr>
              <w:t xml:space="preserve"> - </w:t>
            </w:r>
          </w:p>
        </w:tc>
      </w:tr>
      <w:tr w:rsidR="00A5597C" w:rsidRPr="00CE1A25" w14:paraId="359137BD" w14:textId="77777777" w:rsidTr="00A5597C">
        <w:trPr>
          <w:trHeight w:val="300"/>
        </w:trPr>
        <w:tc>
          <w:tcPr>
            <w:tcW w:w="4815" w:type="dxa"/>
            <w:shd w:val="clear" w:color="auto" w:fill="D9D9D9" w:themeFill="background1" w:themeFillShade="D9"/>
            <w:noWrap/>
            <w:hideMark/>
          </w:tcPr>
          <w:p w14:paraId="00DB9428" w14:textId="77777777" w:rsidR="00A5597C" w:rsidRPr="00CE1A25" w:rsidRDefault="00A5597C" w:rsidP="00A5597C">
            <w:pPr>
              <w:rPr>
                <w:color w:val="auto"/>
                <w:sz w:val="18"/>
                <w:szCs w:val="18"/>
              </w:rPr>
            </w:pPr>
            <w:r w:rsidRPr="00CE1A25">
              <w:rPr>
                <w:color w:val="auto"/>
                <w:sz w:val="18"/>
                <w:szCs w:val="18"/>
              </w:rPr>
              <w:t>Activity Coordinators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F7556" w14:textId="62484708" w:rsidR="00A5597C" w:rsidRPr="00CE1A25" w:rsidRDefault="00A5597C" w:rsidP="00A5597C">
            <w:pPr>
              <w:jc w:val="right"/>
              <w:rPr>
                <w:color w:val="auto"/>
                <w:sz w:val="18"/>
                <w:szCs w:val="18"/>
              </w:rPr>
            </w:pPr>
            <w:r>
              <w:rPr>
                <w:color w:val="000000"/>
              </w:rPr>
              <w:t xml:space="preserve"> 7.24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BD51D90" w14:textId="05FCE324" w:rsidR="00A5597C" w:rsidRPr="00CE1A25" w:rsidRDefault="00A5597C" w:rsidP="00A5597C">
            <w:pPr>
              <w:jc w:val="right"/>
              <w:rPr>
                <w:color w:val="auto"/>
                <w:sz w:val="18"/>
                <w:szCs w:val="18"/>
              </w:rPr>
            </w:pPr>
            <w:r>
              <w:rPr>
                <w:color w:val="000000"/>
              </w:rPr>
              <w:t xml:space="preserve"> 7.24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9DC00ED" w14:textId="61FA4852" w:rsidR="00A5597C" w:rsidRPr="00CE1A25" w:rsidRDefault="00A5597C" w:rsidP="00A5597C">
            <w:pPr>
              <w:jc w:val="right"/>
              <w:rPr>
                <w:color w:val="auto"/>
                <w:sz w:val="18"/>
                <w:szCs w:val="18"/>
              </w:rPr>
            </w:pPr>
            <w:r>
              <w:rPr>
                <w:color w:val="000000"/>
              </w:rPr>
              <w:t xml:space="preserve"> 7.24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81C6D13" w14:textId="1CDAFD60" w:rsidR="00A5597C" w:rsidRPr="00CE1A25" w:rsidRDefault="00A5597C" w:rsidP="00A5597C">
            <w:pPr>
              <w:jc w:val="right"/>
              <w:rPr>
                <w:color w:val="auto"/>
                <w:sz w:val="18"/>
                <w:szCs w:val="18"/>
              </w:rPr>
            </w:pPr>
            <w:r>
              <w:rPr>
                <w:color w:val="000000"/>
              </w:rPr>
              <w:t xml:space="preserve"> 7.24        (26) </w:t>
            </w:r>
          </w:p>
        </w:tc>
      </w:tr>
      <w:tr w:rsidR="00A5597C" w:rsidRPr="00CE1A25" w14:paraId="579F648F" w14:textId="77777777" w:rsidTr="00A5597C">
        <w:trPr>
          <w:trHeight w:val="300"/>
        </w:trPr>
        <w:tc>
          <w:tcPr>
            <w:tcW w:w="4815" w:type="dxa"/>
            <w:shd w:val="clear" w:color="auto" w:fill="D9D9D9" w:themeFill="background1" w:themeFillShade="D9"/>
            <w:noWrap/>
            <w:hideMark/>
          </w:tcPr>
          <w:p w14:paraId="1F140C3A" w14:textId="77777777" w:rsidR="00A5597C" w:rsidRPr="00CE1A25" w:rsidRDefault="00A5597C" w:rsidP="00A5597C">
            <w:pPr>
              <w:rPr>
                <w:color w:val="auto"/>
                <w:sz w:val="18"/>
                <w:szCs w:val="18"/>
              </w:rPr>
            </w:pPr>
            <w:r w:rsidRPr="00CE1A25">
              <w:rPr>
                <w:color w:val="auto"/>
                <w:sz w:val="18"/>
                <w:szCs w:val="18"/>
              </w:rPr>
              <w:lastRenderedPageBreak/>
              <w:t>Service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5DA3F" w14:textId="141C6CC5" w:rsidR="00A5597C" w:rsidRPr="00CE1A25" w:rsidRDefault="00A5597C" w:rsidP="00A5597C">
            <w:pPr>
              <w:jc w:val="right"/>
              <w:rPr>
                <w:color w:val="auto"/>
                <w:sz w:val="18"/>
                <w:szCs w:val="18"/>
              </w:rPr>
            </w:pPr>
            <w:r>
              <w:rPr>
                <w:color w:val="000000"/>
              </w:rPr>
              <w:t xml:space="preserve"> 24.3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A32802C" w14:textId="1B4931BE" w:rsidR="00A5597C" w:rsidRPr="00CE1A25" w:rsidRDefault="00A5597C" w:rsidP="00A5597C">
            <w:pPr>
              <w:jc w:val="right"/>
              <w:rPr>
                <w:color w:val="auto"/>
                <w:sz w:val="18"/>
                <w:szCs w:val="18"/>
              </w:rPr>
            </w:pPr>
            <w:r>
              <w:rPr>
                <w:color w:val="000000"/>
              </w:rPr>
              <w:t xml:space="preserve"> 24.3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E6BF74C" w14:textId="1E0469DA" w:rsidR="00A5597C" w:rsidRPr="00CE1A25" w:rsidRDefault="00A5597C" w:rsidP="00A5597C">
            <w:pPr>
              <w:jc w:val="right"/>
              <w:rPr>
                <w:color w:val="auto"/>
                <w:sz w:val="18"/>
                <w:szCs w:val="18"/>
              </w:rPr>
            </w:pPr>
            <w:r>
              <w:rPr>
                <w:color w:val="000000"/>
              </w:rPr>
              <w:t xml:space="preserve"> 24.3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EFAD3E2" w14:textId="60940F06" w:rsidR="00A5597C" w:rsidRPr="00CE1A25" w:rsidRDefault="00A5597C" w:rsidP="00A5597C">
            <w:pPr>
              <w:jc w:val="right"/>
              <w:rPr>
                <w:color w:val="auto"/>
                <w:sz w:val="18"/>
                <w:szCs w:val="18"/>
              </w:rPr>
            </w:pPr>
            <w:r>
              <w:rPr>
                <w:color w:val="000000"/>
              </w:rPr>
              <w:t xml:space="preserve"> 24.3        (34) </w:t>
            </w:r>
          </w:p>
        </w:tc>
      </w:tr>
      <w:tr w:rsidR="00A5597C" w:rsidRPr="00CE1A25" w14:paraId="25D0695E" w14:textId="77777777" w:rsidTr="00A5597C">
        <w:trPr>
          <w:trHeight w:val="300"/>
        </w:trPr>
        <w:tc>
          <w:tcPr>
            <w:tcW w:w="4815" w:type="dxa"/>
            <w:shd w:val="clear" w:color="auto" w:fill="D9D9D9" w:themeFill="background1" w:themeFillShade="D9"/>
            <w:noWrap/>
            <w:hideMark/>
          </w:tcPr>
          <w:p w14:paraId="18E1AB87" w14:textId="77777777" w:rsidR="00A5597C" w:rsidRPr="00CE1A25" w:rsidRDefault="00A5597C" w:rsidP="00A5597C">
            <w:pPr>
              <w:rPr>
                <w:color w:val="auto"/>
                <w:sz w:val="18"/>
                <w:szCs w:val="18"/>
              </w:rPr>
            </w:pPr>
            <w:r w:rsidRPr="00CE1A25">
              <w:rPr>
                <w:color w:val="auto"/>
                <w:sz w:val="18"/>
                <w:szCs w:val="18"/>
              </w:rPr>
              <w:t>Reception &amp; Admin</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E0AE6" w14:textId="52EF7E29" w:rsidR="00A5597C" w:rsidRPr="00CE1A25" w:rsidRDefault="00A5597C" w:rsidP="00A5597C">
            <w:pPr>
              <w:jc w:val="right"/>
              <w:rPr>
                <w:color w:val="auto"/>
                <w:sz w:val="18"/>
                <w:szCs w:val="18"/>
              </w:rPr>
            </w:pPr>
            <w:r>
              <w:rPr>
                <w:color w:val="000000"/>
              </w:rPr>
              <w:t xml:space="preserve"> 8.41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274DD85" w14:textId="35EF6E25" w:rsidR="00A5597C" w:rsidRPr="00CE1A25" w:rsidRDefault="00A5597C" w:rsidP="00A5597C">
            <w:pPr>
              <w:jc w:val="right"/>
              <w:rPr>
                <w:color w:val="auto"/>
                <w:sz w:val="18"/>
                <w:szCs w:val="18"/>
              </w:rPr>
            </w:pPr>
            <w:r>
              <w:rPr>
                <w:color w:val="000000"/>
              </w:rPr>
              <w:t xml:space="preserve"> 8.41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862E121" w14:textId="5C4DBB70" w:rsidR="00A5597C" w:rsidRPr="00CE1A25" w:rsidRDefault="00A5597C" w:rsidP="00A5597C">
            <w:pPr>
              <w:jc w:val="right"/>
              <w:rPr>
                <w:color w:val="auto"/>
                <w:sz w:val="18"/>
                <w:szCs w:val="18"/>
              </w:rPr>
            </w:pPr>
            <w:r>
              <w:rPr>
                <w:color w:val="000000"/>
              </w:rPr>
              <w:t xml:space="preserve"> 8.41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4637019" w14:textId="3D358C23" w:rsidR="00A5597C" w:rsidRPr="00CE1A25" w:rsidRDefault="00A5597C" w:rsidP="00A5597C">
            <w:pPr>
              <w:jc w:val="right"/>
              <w:rPr>
                <w:color w:val="auto"/>
                <w:sz w:val="18"/>
                <w:szCs w:val="18"/>
              </w:rPr>
            </w:pPr>
            <w:r>
              <w:rPr>
                <w:color w:val="000000"/>
              </w:rPr>
              <w:t xml:space="preserve"> 8.41        (26) </w:t>
            </w:r>
          </w:p>
        </w:tc>
      </w:tr>
      <w:tr w:rsidR="00A5597C" w:rsidRPr="00CE1A25" w14:paraId="391EEA2C" w14:textId="77777777" w:rsidTr="00A5597C">
        <w:trPr>
          <w:trHeight w:val="300"/>
        </w:trPr>
        <w:tc>
          <w:tcPr>
            <w:tcW w:w="4815" w:type="dxa"/>
            <w:shd w:val="clear" w:color="auto" w:fill="D9D9D9" w:themeFill="background1" w:themeFillShade="D9"/>
            <w:noWrap/>
            <w:hideMark/>
          </w:tcPr>
          <w:p w14:paraId="4766FF68" w14:textId="77777777" w:rsidR="00A5597C" w:rsidRPr="00CE1A25" w:rsidRDefault="00A5597C" w:rsidP="00A5597C">
            <w:pPr>
              <w:rPr>
                <w:color w:val="auto"/>
                <w:sz w:val="18"/>
                <w:szCs w:val="18"/>
              </w:rPr>
            </w:pPr>
            <w:r w:rsidRPr="00CE1A25">
              <w:rPr>
                <w:color w:val="auto"/>
                <w:sz w:val="18"/>
                <w:szCs w:val="18"/>
              </w:rPr>
              <w:t>Chefs / Cooks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124D4" w14:textId="29FF7087" w:rsidR="00A5597C" w:rsidRPr="00CE1A25" w:rsidRDefault="00A5597C" w:rsidP="00A5597C">
            <w:pPr>
              <w:jc w:val="right"/>
              <w:rPr>
                <w:color w:val="auto"/>
                <w:sz w:val="18"/>
                <w:szCs w:val="18"/>
              </w:rPr>
            </w:pPr>
            <w:r>
              <w:rPr>
                <w:color w:val="000000"/>
              </w:rPr>
              <w:t xml:space="preserve"> 16.79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ACEB003" w14:textId="7E614428" w:rsidR="00A5597C" w:rsidRPr="00CE1A25" w:rsidRDefault="00A5597C" w:rsidP="00A5597C">
            <w:pPr>
              <w:jc w:val="right"/>
              <w:rPr>
                <w:color w:val="auto"/>
                <w:sz w:val="18"/>
                <w:szCs w:val="18"/>
              </w:rPr>
            </w:pPr>
            <w:r>
              <w:rPr>
                <w:color w:val="000000"/>
              </w:rPr>
              <w:t xml:space="preserve"> 16.79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6431225" w14:textId="0A1EB38F" w:rsidR="00A5597C" w:rsidRPr="00CE1A25" w:rsidRDefault="00A5597C" w:rsidP="00A5597C">
            <w:pPr>
              <w:jc w:val="right"/>
              <w:rPr>
                <w:color w:val="auto"/>
                <w:sz w:val="18"/>
                <w:szCs w:val="18"/>
              </w:rPr>
            </w:pPr>
            <w:r>
              <w:rPr>
                <w:color w:val="000000"/>
              </w:rPr>
              <w:t xml:space="preserve"> 16.79        (27)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61BF1FA" w14:textId="323D1D2A" w:rsidR="00A5597C" w:rsidRPr="00CE1A25" w:rsidRDefault="00A5597C" w:rsidP="00A5597C">
            <w:pPr>
              <w:jc w:val="right"/>
              <w:rPr>
                <w:color w:val="auto"/>
                <w:sz w:val="18"/>
                <w:szCs w:val="18"/>
              </w:rPr>
            </w:pPr>
            <w:r>
              <w:rPr>
                <w:color w:val="000000"/>
              </w:rPr>
              <w:t xml:space="preserve"> 16.79        (27) </w:t>
            </w:r>
          </w:p>
        </w:tc>
      </w:tr>
      <w:tr w:rsidR="00A5597C" w:rsidRPr="00CE1A25" w14:paraId="7346578A" w14:textId="77777777" w:rsidTr="00A5597C">
        <w:trPr>
          <w:trHeight w:val="350"/>
        </w:trPr>
        <w:tc>
          <w:tcPr>
            <w:tcW w:w="4815" w:type="dxa"/>
            <w:shd w:val="clear" w:color="auto" w:fill="D9D9D9" w:themeFill="background1" w:themeFillShade="D9"/>
            <w:noWrap/>
            <w:hideMark/>
          </w:tcPr>
          <w:p w14:paraId="720A7877" w14:textId="77777777" w:rsidR="00A5597C" w:rsidRPr="00CE1A25" w:rsidRDefault="00A5597C" w:rsidP="00A5597C">
            <w:pPr>
              <w:rPr>
                <w:color w:val="auto"/>
                <w:sz w:val="18"/>
                <w:szCs w:val="18"/>
              </w:rPr>
            </w:pPr>
            <w:r w:rsidRPr="00CE1A25">
              <w:rPr>
                <w:color w:val="auto"/>
                <w:sz w:val="18"/>
                <w:szCs w:val="18"/>
              </w:rPr>
              <w:t>Domestic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C6F4F" w14:textId="7B9D0A1D" w:rsidR="00A5597C" w:rsidRPr="00CE1A25" w:rsidRDefault="00A5597C" w:rsidP="00A5597C">
            <w:pPr>
              <w:jc w:val="right"/>
              <w:rPr>
                <w:color w:val="auto"/>
                <w:sz w:val="18"/>
                <w:szCs w:val="18"/>
              </w:rPr>
            </w:pPr>
            <w:r>
              <w:rPr>
                <w:color w:val="000000"/>
              </w:rPr>
              <w:t xml:space="preserve"> 37.26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606E9C3" w14:textId="76F304E3" w:rsidR="00A5597C" w:rsidRPr="00CE1A25" w:rsidRDefault="00A5597C" w:rsidP="00A5597C">
            <w:pPr>
              <w:jc w:val="right"/>
              <w:rPr>
                <w:color w:val="auto"/>
                <w:sz w:val="18"/>
                <w:szCs w:val="18"/>
              </w:rPr>
            </w:pPr>
            <w:r>
              <w:rPr>
                <w:color w:val="000000"/>
              </w:rPr>
              <w:t xml:space="preserve"> 37.26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242C34A" w14:textId="41BD1C9F" w:rsidR="00A5597C" w:rsidRPr="00CE1A25" w:rsidRDefault="00A5597C" w:rsidP="00A5597C">
            <w:pPr>
              <w:jc w:val="right"/>
              <w:rPr>
                <w:color w:val="auto"/>
                <w:sz w:val="18"/>
                <w:szCs w:val="18"/>
              </w:rPr>
            </w:pPr>
            <w:r>
              <w:rPr>
                <w:color w:val="000000"/>
              </w:rPr>
              <w:t xml:space="preserve"> 37.26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64AEBD7" w14:textId="09F2479C" w:rsidR="00A5597C" w:rsidRPr="00CE1A25" w:rsidRDefault="00A5597C" w:rsidP="00A5597C">
            <w:pPr>
              <w:jc w:val="right"/>
              <w:rPr>
                <w:color w:val="auto"/>
                <w:sz w:val="18"/>
                <w:szCs w:val="18"/>
              </w:rPr>
            </w:pPr>
            <w:r>
              <w:rPr>
                <w:color w:val="000000"/>
              </w:rPr>
              <w:t xml:space="preserve"> 37.26        (33) </w:t>
            </w:r>
          </w:p>
        </w:tc>
      </w:tr>
      <w:tr w:rsidR="00A5597C" w:rsidRPr="00CE1A25" w14:paraId="3CA56318" w14:textId="77777777" w:rsidTr="00A5597C">
        <w:trPr>
          <w:trHeight w:val="350"/>
        </w:trPr>
        <w:tc>
          <w:tcPr>
            <w:tcW w:w="4815" w:type="dxa"/>
            <w:shd w:val="clear" w:color="auto" w:fill="D9D9D9" w:themeFill="background1" w:themeFillShade="D9"/>
            <w:noWrap/>
            <w:hideMark/>
          </w:tcPr>
          <w:p w14:paraId="6C99516D" w14:textId="77777777" w:rsidR="00A5597C" w:rsidRPr="00CE1A25" w:rsidRDefault="00A5597C" w:rsidP="00A5597C">
            <w:pPr>
              <w:rPr>
                <w:color w:val="auto"/>
                <w:sz w:val="18"/>
                <w:szCs w:val="18"/>
              </w:rPr>
            </w:pPr>
            <w:r w:rsidRPr="00CE1A25">
              <w:rPr>
                <w:color w:val="auto"/>
                <w:sz w:val="18"/>
                <w:szCs w:val="18"/>
              </w:rPr>
              <w:t>Maintenance &amp; Gardening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5AC05" w14:textId="79ECD969" w:rsidR="00A5597C" w:rsidRPr="00CE1A25" w:rsidRDefault="00A5597C" w:rsidP="00A5597C">
            <w:pPr>
              <w:jc w:val="right"/>
              <w:rPr>
                <w:color w:val="auto"/>
                <w:sz w:val="18"/>
                <w:szCs w:val="18"/>
              </w:rPr>
            </w:pPr>
            <w:r>
              <w:rPr>
                <w:color w:val="000000"/>
              </w:rPr>
              <w:t xml:space="preserve"> 4.34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0352B89" w14:textId="3769EBF9" w:rsidR="00A5597C" w:rsidRPr="00CE1A25" w:rsidRDefault="00A5597C" w:rsidP="00A5597C">
            <w:pPr>
              <w:jc w:val="right"/>
              <w:rPr>
                <w:color w:val="auto"/>
                <w:sz w:val="18"/>
                <w:szCs w:val="18"/>
              </w:rPr>
            </w:pPr>
            <w:r>
              <w:rPr>
                <w:color w:val="000000"/>
              </w:rPr>
              <w:t xml:space="preserve"> 4.34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2D3F9F2" w14:textId="76A0AC83" w:rsidR="00A5597C" w:rsidRPr="00CE1A25" w:rsidRDefault="00A5597C" w:rsidP="00A5597C">
            <w:pPr>
              <w:jc w:val="right"/>
              <w:rPr>
                <w:color w:val="auto"/>
                <w:sz w:val="18"/>
                <w:szCs w:val="18"/>
              </w:rPr>
            </w:pPr>
            <w:r>
              <w:rPr>
                <w:color w:val="000000"/>
              </w:rPr>
              <w:t xml:space="preserve"> 4.34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9285DDB" w14:textId="65D7FD70" w:rsidR="00A5597C" w:rsidRPr="00CE1A25" w:rsidRDefault="00A5597C" w:rsidP="00A5597C">
            <w:pPr>
              <w:jc w:val="right"/>
              <w:rPr>
                <w:color w:val="auto"/>
                <w:sz w:val="18"/>
                <w:szCs w:val="18"/>
              </w:rPr>
            </w:pPr>
            <w:r>
              <w:rPr>
                <w:color w:val="000000"/>
              </w:rPr>
              <w:t xml:space="preserve"> 4.34        (33) </w:t>
            </w:r>
          </w:p>
        </w:tc>
      </w:tr>
      <w:tr w:rsidR="00A5597C" w:rsidRPr="00CE1A25" w14:paraId="0A751EF5" w14:textId="77777777" w:rsidTr="00A5597C">
        <w:trPr>
          <w:trHeight w:val="350"/>
        </w:trPr>
        <w:tc>
          <w:tcPr>
            <w:tcW w:w="4815" w:type="dxa"/>
            <w:shd w:val="clear" w:color="auto" w:fill="D9D9D9" w:themeFill="background1" w:themeFillShade="D9"/>
            <w:noWrap/>
            <w:hideMark/>
          </w:tcPr>
          <w:p w14:paraId="2FD7539B" w14:textId="77777777" w:rsidR="00A5597C" w:rsidRPr="00CE1A25" w:rsidRDefault="00A5597C" w:rsidP="00A5597C">
            <w:pPr>
              <w:rPr>
                <w:color w:val="auto"/>
                <w:sz w:val="18"/>
                <w:szCs w:val="18"/>
              </w:rPr>
            </w:pPr>
            <w:r w:rsidRPr="00CE1A25">
              <w:rPr>
                <w:color w:val="auto"/>
                <w:sz w:val="18"/>
                <w:szCs w:val="18"/>
              </w:rPr>
              <w:t>Other Care Home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F2A83" w14:textId="0E0CC0A7" w:rsidR="00A5597C" w:rsidRPr="00CE1A25" w:rsidRDefault="00A5597C" w:rsidP="00A5597C">
            <w:pPr>
              <w:jc w:val="right"/>
              <w:rPr>
                <w:color w:val="auto"/>
                <w:sz w:val="18"/>
                <w:szCs w:val="18"/>
              </w:rPr>
            </w:pPr>
            <w:r>
              <w:rPr>
                <w:color w:val="000000"/>
              </w:rPr>
              <w:t xml:space="preserve"> 0.1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4FECF30" w14:textId="4464C0C2" w:rsidR="00A5597C" w:rsidRPr="00CE1A25" w:rsidRDefault="00A5597C" w:rsidP="00A5597C">
            <w:pPr>
              <w:jc w:val="right"/>
              <w:rPr>
                <w:color w:val="auto"/>
                <w:sz w:val="18"/>
                <w:szCs w:val="18"/>
              </w:rPr>
            </w:pPr>
            <w:r>
              <w:rPr>
                <w:color w:val="000000"/>
              </w:rPr>
              <w:t xml:space="preserve"> 0.1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E5F37FB" w14:textId="07954CD5" w:rsidR="00A5597C" w:rsidRPr="00CE1A25" w:rsidRDefault="00A5597C" w:rsidP="00A5597C">
            <w:pPr>
              <w:jc w:val="right"/>
              <w:rPr>
                <w:color w:val="auto"/>
                <w:sz w:val="18"/>
                <w:szCs w:val="18"/>
              </w:rPr>
            </w:pPr>
            <w:r>
              <w:rPr>
                <w:color w:val="000000"/>
              </w:rPr>
              <w:t xml:space="preserve"> 0.1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5F38655" w14:textId="7DB837DF" w:rsidR="00A5597C" w:rsidRPr="00CE1A25" w:rsidRDefault="00A5597C" w:rsidP="00A5597C">
            <w:pPr>
              <w:jc w:val="right"/>
              <w:rPr>
                <w:color w:val="auto"/>
                <w:sz w:val="18"/>
                <w:szCs w:val="18"/>
              </w:rPr>
            </w:pPr>
            <w:r>
              <w:rPr>
                <w:color w:val="000000"/>
              </w:rPr>
              <w:t xml:space="preserve"> 0.1        (15) </w:t>
            </w:r>
          </w:p>
        </w:tc>
      </w:tr>
      <w:tr w:rsidR="00A5597C" w:rsidRPr="00CE1A25" w14:paraId="7BDCD04F" w14:textId="77777777" w:rsidTr="00A5597C">
        <w:trPr>
          <w:trHeight w:val="300"/>
        </w:trPr>
        <w:tc>
          <w:tcPr>
            <w:tcW w:w="4815" w:type="dxa"/>
            <w:shd w:val="clear" w:color="auto" w:fill="D9D9D9" w:themeFill="background1" w:themeFillShade="D9"/>
            <w:noWrap/>
            <w:hideMark/>
          </w:tcPr>
          <w:p w14:paraId="4A3159B2" w14:textId="77777777" w:rsidR="00A5597C" w:rsidRPr="00CE1A25" w:rsidRDefault="00A5597C" w:rsidP="00A5597C">
            <w:pPr>
              <w:rPr>
                <w:b/>
                <w:bCs/>
                <w:color w:val="auto"/>
                <w:sz w:val="18"/>
                <w:szCs w:val="18"/>
              </w:rPr>
            </w:pPr>
            <w:r w:rsidRPr="00CE1A25">
              <w:rPr>
                <w:b/>
                <w:bCs/>
                <w:color w:val="auto"/>
                <w:sz w:val="18"/>
                <w:szCs w:val="18"/>
              </w:rPr>
              <w:t>Care Home Premises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AE072" w14:textId="1BCA97E8" w:rsidR="00A5597C" w:rsidRPr="00CE1A25" w:rsidRDefault="00A5597C" w:rsidP="00A5597C">
            <w:pPr>
              <w:jc w:val="right"/>
              <w:rPr>
                <w:b/>
                <w:bCs/>
                <w:color w:val="auto"/>
                <w:sz w:val="18"/>
                <w:szCs w:val="18"/>
              </w:rPr>
            </w:pPr>
            <w:r>
              <w:rPr>
                <w:b/>
                <w:bCs/>
                <w:color w:val="000000"/>
              </w:rPr>
              <w:t xml:space="preserve">                 24.37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D916CFF" w14:textId="182F9984" w:rsidR="00A5597C" w:rsidRPr="00CE1A25" w:rsidRDefault="00A5597C" w:rsidP="00A5597C">
            <w:pPr>
              <w:jc w:val="right"/>
              <w:rPr>
                <w:b/>
                <w:bCs/>
                <w:color w:val="auto"/>
                <w:sz w:val="18"/>
                <w:szCs w:val="18"/>
              </w:rPr>
            </w:pPr>
            <w:r>
              <w:rPr>
                <w:b/>
                <w:bCs/>
                <w:color w:val="000000"/>
              </w:rPr>
              <w:t xml:space="preserve">            24.37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F0F6EF0" w14:textId="1209EBEB" w:rsidR="00A5597C" w:rsidRPr="00CE1A25" w:rsidRDefault="00A5597C" w:rsidP="00A5597C">
            <w:pPr>
              <w:jc w:val="right"/>
              <w:rPr>
                <w:b/>
                <w:bCs/>
                <w:color w:val="auto"/>
                <w:sz w:val="18"/>
                <w:szCs w:val="18"/>
              </w:rPr>
            </w:pPr>
            <w:r>
              <w:rPr>
                <w:b/>
                <w:bCs/>
                <w:color w:val="000000"/>
              </w:rPr>
              <w:t xml:space="preserve">            24.37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E1FFA95" w14:textId="6B2C4965" w:rsidR="00A5597C" w:rsidRPr="00CE1A25" w:rsidRDefault="00A5597C" w:rsidP="00A5597C">
            <w:pPr>
              <w:jc w:val="right"/>
              <w:rPr>
                <w:b/>
                <w:bCs/>
                <w:color w:val="auto"/>
                <w:sz w:val="18"/>
                <w:szCs w:val="18"/>
              </w:rPr>
            </w:pPr>
            <w:r>
              <w:rPr>
                <w:b/>
                <w:bCs/>
                <w:color w:val="000000"/>
              </w:rPr>
              <w:t xml:space="preserve">            24.37 </w:t>
            </w:r>
          </w:p>
        </w:tc>
      </w:tr>
      <w:tr w:rsidR="00A5597C" w:rsidRPr="00CE1A25" w14:paraId="35EDD3F8" w14:textId="77777777" w:rsidTr="00A5597C">
        <w:trPr>
          <w:trHeight w:val="300"/>
        </w:trPr>
        <w:tc>
          <w:tcPr>
            <w:tcW w:w="4815" w:type="dxa"/>
            <w:shd w:val="clear" w:color="auto" w:fill="D9D9D9" w:themeFill="background1" w:themeFillShade="D9"/>
            <w:noWrap/>
            <w:hideMark/>
          </w:tcPr>
          <w:p w14:paraId="61307104" w14:textId="77777777" w:rsidR="00A5597C" w:rsidRPr="00CE1A25" w:rsidRDefault="00A5597C" w:rsidP="00A5597C">
            <w:pPr>
              <w:rPr>
                <w:color w:val="auto"/>
                <w:sz w:val="18"/>
                <w:szCs w:val="18"/>
              </w:rPr>
            </w:pPr>
            <w:r w:rsidRPr="00CE1A25">
              <w:rPr>
                <w:color w:val="auto"/>
                <w:sz w:val="18"/>
                <w:szCs w:val="18"/>
              </w:rPr>
              <w:t>Fixtures &amp; Fittings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C8C49" w14:textId="6FD3114C" w:rsidR="00A5597C" w:rsidRPr="00CE1A25" w:rsidRDefault="00A5597C" w:rsidP="00A5597C">
            <w:pPr>
              <w:jc w:val="right"/>
              <w:rPr>
                <w:color w:val="auto"/>
                <w:sz w:val="18"/>
                <w:szCs w:val="18"/>
              </w:rPr>
            </w:pPr>
            <w:r>
              <w:rPr>
                <w:color w:val="000000"/>
              </w:rPr>
              <w:t xml:space="preserve"> 4.57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14E7A3A" w14:textId="60C8AFB1" w:rsidR="00A5597C" w:rsidRPr="00CE1A25" w:rsidRDefault="00A5597C" w:rsidP="00A5597C">
            <w:pPr>
              <w:jc w:val="right"/>
              <w:rPr>
                <w:color w:val="auto"/>
                <w:sz w:val="18"/>
                <w:szCs w:val="18"/>
              </w:rPr>
            </w:pPr>
            <w:r>
              <w:rPr>
                <w:color w:val="000000"/>
              </w:rPr>
              <w:t xml:space="preserve"> 4.57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AB3D544" w14:textId="088F9BD0" w:rsidR="00A5597C" w:rsidRPr="00CE1A25" w:rsidRDefault="00A5597C" w:rsidP="00A5597C">
            <w:pPr>
              <w:jc w:val="right"/>
              <w:rPr>
                <w:color w:val="auto"/>
                <w:sz w:val="18"/>
                <w:szCs w:val="18"/>
              </w:rPr>
            </w:pPr>
            <w:r>
              <w:rPr>
                <w:color w:val="000000"/>
              </w:rPr>
              <w:t xml:space="preserve"> 4.57        (17)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0097581" w14:textId="6272CE58" w:rsidR="00A5597C" w:rsidRPr="00CE1A25" w:rsidRDefault="00A5597C" w:rsidP="00A5597C">
            <w:pPr>
              <w:jc w:val="right"/>
              <w:rPr>
                <w:color w:val="auto"/>
                <w:sz w:val="18"/>
                <w:szCs w:val="18"/>
              </w:rPr>
            </w:pPr>
            <w:r>
              <w:rPr>
                <w:color w:val="000000"/>
              </w:rPr>
              <w:t xml:space="preserve"> 4.57        (17) </w:t>
            </w:r>
          </w:p>
        </w:tc>
      </w:tr>
      <w:tr w:rsidR="00A5597C" w:rsidRPr="00CE1A25" w14:paraId="4989AA64" w14:textId="77777777" w:rsidTr="00A5597C">
        <w:trPr>
          <w:trHeight w:val="300"/>
        </w:trPr>
        <w:tc>
          <w:tcPr>
            <w:tcW w:w="4815" w:type="dxa"/>
            <w:shd w:val="clear" w:color="auto" w:fill="D9D9D9" w:themeFill="background1" w:themeFillShade="D9"/>
            <w:noWrap/>
            <w:hideMark/>
          </w:tcPr>
          <w:p w14:paraId="7FE99F8A" w14:textId="77777777" w:rsidR="00A5597C" w:rsidRPr="00CE1A25" w:rsidRDefault="00A5597C" w:rsidP="00A5597C">
            <w:pPr>
              <w:rPr>
                <w:color w:val="auto"/>
                <w:sz w:val="18"/>
                <w:szCs w:val="18"/>
              </w:rPr>
            </w:pPr>
            <w:r w:rsidRPr="00CE1A25">
              <w:rPr>
                <w:color w:val="auto"/>
                <w:sz w:val="18"/>
                <w:szCs w:val="18"/>
              </w:rPr>
              <w:t>Repairs and Maintenance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A7827" w14:textId="12A968EF" w:rsidR="00A5597C" w:rsidRPr="00CE1A25" w:rsidRDefault="00A5597C" w:rsidP="00A5597C">
            <w:pPr>
              <w:jc w:val="right"/>
              <w:rPr>
                <w:color w:val="auto"/>
                <w:sz w:val="18"/>
                <w:szCs w:val="18"/>
              </w:rPr>
            </w:pPr>
            <w:r>
              <w:rPr>
                <w:color w:val="000000"/>
              </w:rPr>
              <w:t xml:space="preserve"> 15.07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100564D" w14:textId="7F9F5D34" w:rsidR="00A5597C" w:rsidRPr="00CE1A25" w:rsidRDefault="00A5597C" w:rsidP="00A5597C">
            <w:pPr>
              <w:jc w:val="right"/>
              <w:rPr>
                <w:color w:val="auto"/>
                <w:sz w:val="18"/>
                <w:szCs w:val="18"/>
              </w:rPr>
            </w:pPr>
            <w:r>
              <w:rPr>
                <w:color w:val="000000"/>
              </w:rPr>
              <w:t xml:space="preserve"> 15.07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4FB6B31" w14:textId="44476889" w:rsidR="00A5597C" w:rsidRPr="00CE1A25" w:rsidRDefault="00A5597C" w:rsidP="00A5597C">
            <w:pPr>
              <w:jc w:val="right"/>
              <w:rPr>
                <w:color w:val="auto"/>
                <w:sz w:val="18"/>
                <w:szCs w:val="18"/>
              </w:rPr>
            </w:pPr>
            <w:r>
              <w:rPr>
                <w:color w:val="000000"/>
              </w:rPr>
              <w:t xml:space="preserve"> 15.07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C4BF884" w14:textId="562FBB18" w:rsidR="00A5597C" w:rsidRPr="00CE1A25" w:rsidRDefault="00A5597C" w:rsidP="00A5597C">
            <w:pPr>
              <w:jc w:val="right"/>
              <w:rPr>
                <w:color w:val="auto"/>
                <w:sz w:val="18"/>
                <w:szCs w:val="18"/>
              </w:rPr>
            </w:pPr>
            <w:r>
              <w:rPr>
                <w:color w:val="000000"/>
              </w:rPr>
              <w:t xml:space="preserve"> 15.07        (32) </w:t>
            </w:r>
          </w:p>
        </w:tc>
      </w:tr>
      <w:tr w:rsidR="00A5597C" w:rsidRPr="00CE1A25" w14:paraId="3D78863A" w14:textId="77777777" w:rsidTr="00A5597C">
        <w:trPr>
          <w:trHeight w:val="300"/>
        </w:trPr>
        <w:tc>
          <w:tcPr>
            <w:tcW w:w="4815" w:type="dxa"/>
            <w:shd w:val="clear" w:color="auto" w:fill="D9D9D9" w:themeFill="background1" w:themeFillShade="D9"/>
            <w:noWrap/>
            <w:hideMark/>
          </w:tcPr>
          <w:p w14:paraId="415A8F07" w14:textId="77777777" w:rsidR="00A5597C" w:rsidRPr="00CE1A25" w:rsidRDefault="00A5597C" w:rsidP="00A5597C">
            <w:pPr>
              <w:rPr>
                <w:color w:val="auto"/>
                <w:sz w:val="18"/>
                <w:szCs w:val="18"/>
              </w:rPr>
            </w:pPr>
            <w:r w:rsidRPr="00CE1A25">
              <w:rPr>
                <w:color w:val="auto"/>
                <w:sz w:val="18"/>
                <w:szCs w:val="18"/>
              </w:rPr>
              <w:t>Furniture, Furnishings and Equipment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DCB12" w14:textId="4F28ECC5" w:rsidR="00A5597C" w:rsidRPr="00CE1A25" w:rsidRDefault="00A5597C" w:rsidP="00A5597C">
            <w:pPr>
              <w:jc w:val="right"/>
              <w:rPr>
                <w:color w:val="auto"/>
                <w:sz w:val="18"/>
                <w:szCs w:val="18"/>
              </w:rPr>
            </w:pPr>
            <w:r>
              <w:rPr>
                <w:color w:val="000000"/>
              </w:rPr>
              <w:t xml:space="preserve"> 3.84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9D44EF9" w14:textId="354E80F6" w:rsidR="00A5597C" w:rsidRPr="00CE1A25" w:rsidRDefault="00A5597C" w:rsidP="00A5597C">
            <w:pPr>
              <w:jc w:val="right"/>
              <w:rPr>
                <w:color w:val="auto"/>
                <w:sz w:val="18"/>
                <w:szCs w:val="18"/>
              </w:rPr>
            </w:pPr>
            <w:r>
              <w:rPr>
                <w:color w:val="000000"/>
              </w:rPr>
              <w:t xml:space="preserve"> 3.84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0E693B4" w14:textId="2A5FD5B9" w:rsidR="00A5597C" w:rsidRPr="00CE1A25" w:rsidRDefault="00A5597C" w:rsidP="00A5597C">
            <w:pPr>
              <w:jc w:val="right"/>
              <w:rPr>
                <w:color w:val="auto"/>
                <w:sz w:val="18"/>
                <w:szCs w:val="18"/>
              </w:rPr>
            </w:pPr>
            <w:r>
              <w:rPr>
                <w:color w:val="000000"/>
              </w:rPr>
              <w:t xml:space="preserve"> 3.84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8BD33C9" w14:textId="6DB31253" w:rsidR="00A5597C" w:rsidRPr="00CE1A25" w:rsidRDefault="00A5597C" w:rsidP="00A5597C">
            <w:pPr>
              <w:jc w:val="right"/>
              <w:rPr>
                <w:color w:val="auto"/>
                <w:sz w:val="18"/>
                <w:szCs w:val="18"/>
              </w:rPr>
            </w:pPr>
            <w:r>
              <w:rPr>
                <w:color w:val="000000"/>
              </w:rPr>
              <w:t xml:space="preserve"> 3.84        (32) </w:t>
            </w:r>
          </w:p>
        </w:tc>
      </w:tr>
      <w:tr w:rsidR="00A5597C" w:rsidRPr="00CE1A25" w14:paraId="2FAA11DC" w14:textId="77777777" w:rsidTr="00A5597C">
        <w:trPr>
          <w:trHeight w:val="300"/>
        </w:trPr>
        <w:tc>
          <w:tcPr>
            <w:tcW w:w="4815" w:type="dxa"/>
            <w:shd w:val="clear" w:color="auto" w:fill="D9D9D9" w:themeFill="background1" w:themeFillShade="D9"/>
            <w:noWrap/>
            <w:hideMark/>
          </w:tcPr>
          <w:p w14:paraId="53C2419A" w14:textId="77777777" w:rsidR="00A5597C" w:rsidRPr="00CE1A25" w:rsidRDefault="00A5597C" w:rsidP="00A5597C">
            <w:pPr>
              <w:rPr>
                <w:color w:val="auto"/>
                <w:sz w:val="18"/>
                <w:szCs w:val="18"/>
              </w:rPr>
            </w:pPr>
            <w:r w:rsidRPr="00CE1A25">
              <w:rPr>
                <w:color w:val="auto"/>
                <w:sz w:val="18"/>
                <w:szCs w:val="18"/>
              </w:rPr>
              <w:t>Other Care Home Premise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B8550" w14:textId="7B1DE65C" w:rsidR="00A5597C" w:rsidRPr="00CE1A25" w:rsidRDefault="00A5597C" w:rsidP="00A5597C">
            <w:pPr>
              <w:jc w:val="right"/>
              <w:rPr>
                <w:color w:val="auto"/>
                <w:sz w:val="18"/>
                <w:szCs w:val="18"/>
              </w:rPr>
            </w:pPr>
            <w:r>
              <w:rPr>
                <w:color w:val="000000"/>
              </w:rPr>
              <w:t xml:space="preserve"> 0.89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8163C21" w14:textId="416E2FF1" w:rsidR="00A5597C" w:rsidRPr="00CE1A25" w:rsidRDefault="00A5597C" w:rsidP="00A5597C">
            <w:pPr>
              <w:jc w:val="right"/>
              <w:rPr>
                <w:color w:val="auto"/>
                <w:sz w:val="18"/>
                <w:szCs w:val="18"/>
              </w:rPr>
            </w:pPr>
            <w:r>
              <w:rPr>
                <w:color w:val="000000"/>
              </w:rPr>
              <w:t xml:space="preserve"> 0.89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80DB7AD" w14:textId="0C18753C" w:rsidR="00A5597C" w:rsidRPr="00CE1A25" w:rsidRDefault="00A5597C" w:rsidP="00A5597C">
            <w:pPr>
              <w:jc w:val="right"/>
              <w:rPr>
                <w:color w:val="auto"/>
                <w:sz w:val="18"/>
                <w:szCs w:val="18"/>
              </w:rPr>
            </w:pPr>
            <w:r>
              <w:rPr>
                <w:color w:val="000000"/>
              </w:rPr>
              <w:t xml:space="preserve"> 0.89        (18)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14C1ABA" w14:textId="01666988" w:rsidR="00A5597C" w:rsidRPr="00CE1A25" w:rsidRDefault="00A5597C" w:rsidP="00A5597C">
            <w:pPr>
              <w:jc w:val="right"/>
              <w:rPr>
                <w:color w:val="auto"/>
                <w:sz w:val="18"/>
                <w:szCs w:val="18"/>
              </w:rPr>
            </w:pPr>
            <w:r>
              <w:rPr>
                <w:color w:val="000000"/>
              </w:rPr>
              <w:t xml:space="preserve"> 0.89        (18) </w:t>
            </w:r>
          </w:p>
        </w:tc>
      </w:tr>
      <w:tr w:rsidR="00A5597C" w:rsidRPr="00CE1A25" w14:paraId="4BE60AB8" w14:textId="77777777" w:rsidTr="00A5597C">
        <w:trPr>
          <w:trHeight w:val="300"/>
        </w:trPr>
        <w:tc>
          <w:tcPr>
            <w:tcW w:w="4815" w:type="dxa"/>
            <w:shd w:val="clear" w:color="auto" w:fill="D9D9D9" w:themeFill="background1" w:themeFillShade="D9"/>
            <w:noWrap/>
            <w:hideMark/>
          </w:tcPr>
          <w:p w14:paraId="2A7BF8EB" w14:textId="77777777" w:rsidR="00A5597C" w:rsidRPr="00CE1A25" w:rsidRDefault="00A5597C" w:rsidP="00A5597C">
            <w:pPr>
              <w:rPr>
                <w:b/>
                <w:bCs/>
                <w:color w:val="auto"/>
                <w:sz w:val="18"/>
                <w:szCs w:val="18"/>
              </w:rPr>
            </w:pPr>
            <w:r w:rsidRPr="00CE1A25">
              <w:rPr>
                <w:b/>
                <w:bCs/>
                <w:color w:val="auto"/>
                <w:sz w:val="18"/>
                <w:szCs w:val="18"/>
              </w:rPr>
              <w:t>Care Home Supplies and Services</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1091A99" w14:textId="68F91D37" w:rsidR="00A5597C" w:rsidRPr="00CE1A25" w:rsidRDefault="00A5597C" w:rsidP="00A5597C">
            <w:pPr>
              <w:jc w:val="right"/>
              <w:rPr>
                <w:b/>
                <w:bCs/>
                <w:color w:val="auto"/>
                <w:sz w:val="18"/>
                <w:szCs w:val="18"/>
              </w:rPr>
            </w:pPr>
            <w:r>
              <w:rPr>
                <w:b/>
                <w:bCs/>
                <w:color w:val="000000"/>
              </w:rPr>
              <w:t xml:space="preserve">                 77.30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54E4783" w14:textId="0FA482E8" w:rsidR="00A5597C" w:rsidRPr="00CE1A25" w:rsidRDefault="00A5597C" w:rsidP="00A5597C">
            <w:pPr>
              <w:jc w:val="right"/>
              <w:rPr>
                <w:b/>
                <w:bCs/>
                <w:color w:val="auto"/>
                <w:sz w:val="18"/>
                <w:szCs w:val="18"/>
              </w:rPr>
            </w:pPr>
            <w:r>
              <w:rPr>
                <w:b/>
                <w:bCs/>
                <w:color w:val="000000"/>
              </w:rPr>
              <w:t xml:space="preserve">            77.30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71A1DAB" w14:textId="445B0CF0" w:rsidR="00A5597C" w:rsidRPr="00CE1A25" w:rsidRDefault="00A5597C" w:rsidP="00A5597C">
            <w:pPr>
              <w:jc w:val="right"/>
              <w:rPr>
                <w:b/>
                <w:bCs/>
                <w:color w:val="auto"/>
                <w:sz w:val="18"/>
                <w:szCs w:val="18"/>
              </w:rPr>
            </w:pPr>
            <w:r>
              <w:rPr>
                <w:b/>
                <w:bCs/>
                <w:color w:val="000000"/>
              </w:rPr>
              <w:t xml:space="preserve">            77.30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FF101FD" w14:textId="11A3FD2B" w:rsidR="00A5597C" w:rsidRPr="00CE1A25" w:rsidRDefault="00A5597C" w:rsidP="00A5597C">
            <w:pPr>
              <w:jc w:val="right"/>
              <w:rPr>
                <w:b/>
                <w:bCs/>
                <w:color w:val="auto"/>
                <w:sz w:val="18"/>
                <w:szCs w:val="18"/>
              </w:rPr>
            </w:pPr>
            <w:r>
              <w:rPr>
                <w:b/>
                <w:bCs/>
                <w:color w:val="000000"/>
              </w:rPr>
              <w:t xml:space="preserve">            77.30 </w:t>
            </w:r>
          </w:p>
        </w:tc>
      </w:tr>
      <w:tr w:rsidR="00A5597C" w:rsidRPr="00CE1A25" w14:paraId="39D38D96" w14:textId="77777777" w:rsidTr="00A5597C">
        <w:trPr>
          <w:trHeight w:val="300"/>
        </w:trPr>
        <w:tc>
          <w:tcPr>
            <w:tcW w:w="4815" w:type="dxa"/>
            <w:shd w:val="clear" w:color="auto" w:fill="D9D9D9" w:themeFill="background1" w:themeFillShade="D9"/>
            <w:noWrap/>
            <w:hideMark/>
          </w:tcPr>
          <w:p w14:paraId="53361D71" w14:textId="77777777" w:rsidR="00A5597C" w:rsidRPr="00CE1A25" w:rsidRDefault="00A5597C" w:rsidP="00A5597C">
            <w:pPr>
              <w:rPr>
                <w:color w:val="auto"/>
                <w:sz w:val="18"/>
                <w:szCs w:val="18"/>
              </w:rPr>
            </w:pPr>
            <w:r w:rsidRPr="00CE1A25">
              <w:rPr>
                <w:color w:val="auto"/>
                <w:sz w:val="18"/>
                <w:szCs w:val="18"/>
              </w:rPr>
              <w:t>Food</w:t>
            </w:r>
          </w:p>
        </w:tc>
        <w:tc>
          <w:tcPr>
            <w:tcW w:w="2283" w:type="dxa"/>
            <w:tcBorders>
              <w:top w:val="single" w:sz="4" w:space="0" w:color="auto"/>
              <w:left w:val="nil"/>
              <w:bottom w:val="single" w:sz="4" w:space="0" w:color="auto"/>
              <w:right w:val="nil"/>
            </w:tcBorders>
            <w:shd w:val="clear" w:color="auto" w:fill="auto"/>
            <w:noWrap/>
            <w:vAlign w:val="bottom"/>
          </w:tcPr>
          <w:p w14:paraId="5E1467C4" w14:textId="76A62B68" w:rsidR="00A5597C" w:rsidRPr="00CE1A25" w:rsidRDefault="00A5597C" w:rsidP="00A5597C">
            <w:pPr>
              <w:jc w:val="right"/>
              <w:rPr>
                <w:color w:val="auto"/>
                <w:sz w:val="18"/>
                <w:szCs w:val="18"/>
              </w:rPr>
            </w:pPr>
            <w:r>
              <w:rPr>
                <w:color w:val="000000"/>
              </w:rPr>
              <w:t xml:space="preserve"> 28.05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DC3BC" w14:textId="1D14C2DE" w:rsidR="00A5597C" w:rsidRPr="00CE1A25" w:rsidRDefault="00A5597C" w:rsidP="00A5597C">
            <w:pPr>
              <w:jc w:val="right"/>
              <w:rPr>
                <w:color w:val="auto"/>
                <w:sz w:val="18"/>
                <w:szCs w:val="18"/>
              </w:rPr>
            </w:pPr>
            <w:r>
              <w:rPr>
                <w:color w:val="000000"/>
              </w:rPr>
              <w:t xml:space="preserve"> 28.05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9AAF4F7" w14:textId="34CA5F69" w:rsidR="00A5597C" w:rsidRPr="00CE1A25" w:rsidRDefault="00A5597C" w:rsidP="00A5597C">
            <w:pPr>
              <w:jc w:val="right"/>
              <w:rPr>
                <w:color w:val="auto"/>
                <w:sz w:val="18"/>
                <w:szCs w:val="18"/>
              </w:rPr>
            </w:pPr>
            <w:r>
              <w:rPr>
                <w:color w:val="000000"/>
              </w:rPr>
              <w:t xml:space="preserve"> 28.05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E847042" w14:textId="6B7B9297" w:rsidR="00A5597C" w:rsidRPr="00CE1A25" w:rsidRDefault="00A5597C" w:rsidP="00A5597C">
            <w:pPr>
              <w:jc w:val="right"/>
              <w:rPr>
                <w:color w:val="auto"/>
                <w:sz w:val="18"/>
                <w:szCs w:val="18"/>
              </w:rPr>
            </w:pPr>
            <w:r>
              <w:rPr>
                <w:color w:val="000000"/>
              </w:rPr>
              <w:t xml:space="preserve"> 28.05        (34) </w:t>
            </w:r>
          </w:p>
        </w:tc>
      </w:tr>
      <w:tr w:rsidR="00A5597C" w:rsidRPr="00CE1A25" w14:paraId="45527FF1" w14:textId="77777777" w:rsidTr="00A5597C">
        <w:trPr>
          <w:trHeight w:val="300"/>
        </w:trPr>
        <w:tc>
          <w:tcPr>
            <w:tcW w:w="4815" w:type="dxa"/>
            <w:shd w:val="clear" w:color="auto" w:fill="D9D9D9" w:themeFill="background1" w:themeFillShade="D9"/>
            <w:noWrap/>
            <w:hideMark/>
          </w:tcPr>
          <w:p w14:paraId="03EB85D8" w14:textId="77777777" w:rsidR="00A5597C" w:rsidRPr="00CE1A25" w:rsidRDefault="00A5597C" w:rsidP="00A5597C">
            <w:pPr>
              <w:rPr>
                <w:color w:val="auto"/>
                <w:sz w:val="18"/>
                <w:szCs w:val="18"/>
              </w:rPr>
            </w:pPr>
            <w:r w:rsidRPr="00CE1A25">
              <w:rPr>
                <w:color w:val="auto"/>
                <w:sz w:val="18"/>
                <w:szCs w:val="18"/>
              </w:rPr>
              <w:t>Domestic &amp; Cleaning</w:t>
            </w:r>
          </w:p>
        </w:tc>
        <w:tc>
          <w:tcPr>
            <w:tcW w:w="2283" w:type="dxa"/>
            <w:tcBorders>
              <w:top w:val="single" w:sz="4" w:space="0" w:color="auto"/>
              <w:left w:val="nil"/>
              <w:bottom w:val="single" w:sz="4" w:space="0" w:color="auto"/>
              <w:right w:val="nil"/>
            </w:tcBorders>
            <w:shd w:val="clear" w:color="auto" w:fill="auto"/>
            <w:noWrap/>
            <w:vAlign w:val="bottom"/>
          </w:tcPr>
          <w:p w14:paraId="7D7A547B" w14:textId="4DE70DEC" w:rsidR="00A5597C" w:rsidRPr="00CE1A25" w:rsidRDefault="00A5597C" w:rsidP="00A5597C">
            <w:pPr>
              <w:jc w:val="right"/>
              <w:rPr>
                <w:color w:val="auto"/>
                <w:sz w:val="18"/>
                <w:szCs w:val="18"/>
              </w:rPr>
            </w:pPr>
            <w:r>
              <w:rPr>
                <w:color w:val="000000"/>
              </w:rPr>
              <w:t xml:space="preserve"> 5.67        (29)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7E88B" w14:textId="16C47E37" w:rsidR="00A5597C" w:rsidRPr="00CE1A25" w:rsidRDefault="00A5597C" w:rsidP="00A5597C">
            <w:pPr>
              <w:jc w:val="right"/>
              <w:rPr>
                <w:color w:val="auto"/>
                <w:sz w:val="18"/>
                <w:szCs w:val="18"/>
              </w:rPr>
            </w:pPr>
            <w:r>
              <w:rPr>
                <w:color w:val="000000"/>
              </w:rPr>
              <w:t xml:space="preserve"> 5.67        (29)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F711210" w14:textId="00991782" w:rsidR="00A5597C" w:rsidRPr="00CE1A25" w:rsidRDefault="00A5597C" w:rsidP="00A5597C">
            <w:pPr>
              <w:jc w:val="right"/>
              <w:rPr>
                <w:color w:val="auto"/>
                <w:sz w:val="18"/>
                <w:szCs w:val="18"/>
              </w:rPr>
            </w:pPr>
            <w:r>
              <w:rPr>
                <w:color w:val="000000"/>
              </w:rPr>
              <w:t xml:space="preserve"> 5.67        (29)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FCEA310" w14:textId="6367953C" w:rsidR="00A5597C" w:rsidRPr="00CE1A25" w:rsidRDefault="00A5597C" w:rsidP="00A5597C">
            <w:pPr>
              <w:jc w:val="right"/>
              <w:rPr>
                <w:color w:val="auto"/>
                <w:sz w:val="18"/>
                <w:szCs w:val="18"/>
              </w:rPr>
            </w:pPr>
            <w:r>
              <w:rPr>
                <w:color w:val="000000"/>
              </w:rPr>
              <w:t xml:space="preserve"> 5.67        (29) </w:t>
            </w:r>
          </w:p>
        </w:tc>
      </w:tr>
      <w:tr w:rsidR="00A5597C" w:rsidRPr="00CE1A25" w14:paraId="481861DB" w14:textId="77777777" w:rsidTr="00A5597C">
        <w:trPr>
          <w:trHeight w:val="300"/>
        </w:trPr>
        <w:tc>
          <w:tcPr>
            <w:tcW w:w="4815" w:type="dxa"/>
            <w:shd w:val="clear" w:color="auto" w:fill="D9D9D9" w:themeFill="background1" w:themeFillShade="D9"/>
            <w:noWrap/>
            <w:hideMark/>
          </w:tcPr>
          <w:p w14:paraId="0903264F" w14:textId="77777777" w:rsidR="00A5597C" w:rsidRPr="00CE1A25" w:rsidRDefault="00A5597C" w:rsidP="00A5597C">
            <w:pPr>
              <w:rPr>
                <w:color w:val="auto"/>
                <w:sz w:val="18"/>
                <w:szCs w:val="18"/>
              </w:rPr>
            </w:pPr>
            <w:r w:rsidRPr="00CE1A25">
              <w:rPr>
                <w:color w:val="auto"/>
                <w:sz w:val="18"/>
                <w:szCs w:val="18"/>
              </w:rPr>
              <w:t>Medical Supplies</w:t>
            </w:r>
          </w:p>
        </w:tc>
        <w:tc>
          <w:tcPr>
            <w:tcW w:w="2283" w:type="dxa"/>
            <w:tcBorders>
              <w:top w:val="single" w:sz="4" w:space="0" w:color="auto"/>
              <w:left w:val="nil"/>
              <w:bottom w:val="single" w:sz="4" w:space="0" w:color="auto"/>
              <w:right w:val="nil"/>
            </w:tcBorders>
            <w:shd w:val="clear" w:color="auto" w:fill="auto"/>
            <w:noWrap/>
            <w:vAlign w:val="bottom"/>
          </w:tcPr>
          <w:p w14:paraId="58E14B70" w14:textId="63B04030" w:rsidR="00A5597C" w:rsidRPr="00CE1A25" w:rsidRDefault="00A5597C" w:rsidP="00A5597C">
            <w:pPr>
              <w:jc w:val="right"/>
              <w:rPr>
                <w:color w:val="auto"/>
                <w:sz w:val="18"/>
                <w:szCs w:val="18"/>
              </w:rPr>
            </w:pPr>
            <w:r>
              <w:rPr>
                <w:color w:val="000000"/>
              </w:rPr>
              <w:t xml:space="preserve"> 1.4        (26)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7DE01" w14:textId="14D97876" w:rsidR="00A5597C" w:rsidRPr="00CE1A25" w:rsidRDefault="00A5597C" w:rsidP="00A5597C">
            <w:pPr>
              <w:jc w:val="right"/>
              <w:rPr>
                <w:color w:val="auto"/>
                <w:sz w:val="18"/>
                <w:szCs w:val="18"/>
              </w:rPr>
            </w:pPr>
            <w:r>
              <w:rPr>
                <w:color w:val="000000"/>
              </w:rPr>
              <w:t xml:space="preserve"> 1.4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CACAFCA" w14:textId="6CE149CF" w:rsidR="00A5597C" w:rsidRPr="00CE1A25" w:rsidRDefault="00A5597C" w:rsidP="00A5597C">
            <w:pPr>
              <w:jc w:val="right"/>
              <w:rPr>
                <w:color w:val="auto"/>
                <w:sz w:val="18"/>
                <w:szCs w:val="18"/>
              </w:rPr>
            </w:pPr>
            <w:r>
              <w:rPr>
                <w:color w:val="000000"/>
              </w:rPr>
              <w:t xml:space="preserve"> 1.4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7E0DA02" w14:textId="48A26E8C" w:rsidR="00A5597C" w:rsidRPr="00CE1A25" w:rsidRDefault="00A5597C" w:rsidP="00A5597C">
            <w:pPr>
              <w:jc w:val="right"/>
              <w:rPr>
                <w:color w:val="auto"/>
                <w:sz w:val="18"/>
                <w:szCs w:val="18"/>
              </w:rPr>
            </w:pPr>
            <w:r>
              <w:rPr>
                <w:color w:val="000000"/>
              </w:rPr>
              <w:t xml:space="preserve"> 1.4        (26) </w:t>
            </w:r>
          </w:p>
        </w:tc>
      </w:tr>
      <w:tr w:rsidR="00A5597C" w:rsidRPr="00CE1A25" w14:paraId="2B8B91B6" w14:textId="77777777" w:rsidTr="00A5597C">
        <w:trPr>
          <w:trHeight w:val="300"/>
        </w:trPr>
        <w:tc>
          <w:tcPr>
            <w:tcW w:w="4815" w:type="dxa"/>
            <w:shd w:val="clear" w:color="auto" w:fill="D9D9D9" w:themeFill="background1" w:themeFillShade="D9"/>
            <w:noWrap/>
            <w:hideMark/>
          </w:tcPr>
          <w:p w14:paraId="6A6EF44F" w14:textId="77777777" w:rsidR="00A5597C" w:rsidRPr="00CE1A25" w:rsidRDefault="00A5597C" w:rsidP="00A5597C">
            <w:pPr>
              <w:rPr>
                <w:color w:val="auto"/>
                <w:sz w:val="18"/>
                <w:szCs w:val="18"/>
              </w:rPr>
            </w:pPr>
            <w:r w:rsidRPr="00CE1A25">
              <w:rPr>
                <w:color w:val="auto"/>
                <w:sz w:val="18"/>
                <w:szCs w:val="18"/>
              </w:rPr>
              <w:t>PPE</w:t>
            </w:r>
          </w:p>
        </w:tc>
        <w:tc>
          <w:tcPr>
            <w:tcW w:w="2283" w:type="dxa"/>
            <w:tcBorders>
              <w:top w:val="single" w:sz="4" w:space="0" w:color="auto"/>
              <w:left w:val="nil"/>
              <w:bottom w:val="single" w:sz="4" w:space="0" w:color="auto"/>
              <w:right w:val="nil"/>
            </w:tcBorders>
            <w:shd w:val="clear" w:color="auto" w:fill="auto"/>
            <w:noWrap/>
            <w:vAlign w:val="bottom"/>
          </w:tcPr>
          <w:p w14:paraId="3D9F6E2A" w14:textId="7E7D3FA8" w:rsidR="00A5597C" w:rsidRPr="00CE1A25" w:rsidRDefault="00A5597C" w:rsidP="00A5597C">
            <w:pPr>
              <w:jc w:val="right"/>
              <w:rPr>
                <w:color w:val="auto"/>
                <w:sz w:val="18"/>
                <w:szCs w:val="18"/>
              </w:rPr>
            </w:pPr>
            <w:r>
              <w:rPr>
                <w:color w:val="000000"/>
              </w:rPr>
              <w:t xml:space="preserve"> 1.23        (15)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21794" w14:textId="69E091F6" w:rsidR="00A5597C" w:rsidRPr="00CE1A25" w:rsidRDefault="00A5597C" w:rsidP="00A5597C">
            <w:pPr>
              <w:jc w:val="right"/>
              <w:rPr>
                <w:color w:val="auto"/>
                <w:sz w:val="18"/>
                <w:szCs w:val="18"/>
              </w:rPr>
            </w:pPr>
            <w:r>
              <w:rPr>
                <w:color w:val="000000"/>
              </w:rPr>
              <w:t xml:space="preserve"> 1.23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05F45D4" w14:textId="7AAF9FC6" w:rsidR="00A5597C" w:rsidRPr="00CE1A25" w:rsidRDefault="00A5597C" w:rsidP="00A5597C">
            <w:pPr>
              <w:jc w:val="right"/>
              <w:rPr>
                <w:color w:val="auto"/>
                <w:sz w:val="18"/>
                <w:szCs w:val="18"/>
              </w:rPr>
            </w:pPr>
            <w:r>
              <w:rPr>
                <w:color w:val="000000"/>
              </w:rPr>
              <w:t xml:space="preserve"> 1.23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206D7A5" w14:textId="6AFFACEE" w:rsidR="00A5597C" w:rsidRPr="00CE1A25" w:rsidRDefault="00A5597C" w:rsidP="00A5597C">
            <w:pPr>
              <w:jc w:val="right"/>
              <w:rPr>
                <w:color w:val="auto"/>
                <w:sz w:val="18"/>
                <w:szCs w:val="18"/>
              </w:rPr>
            </w:pPr>
            <w:r>
              <w:rPr>
                <w:color w:val="000000"/>
              </w:rPr>
              <w:t xml:space="preserve"> 1.23        (15) </w:t>
            </w:r>
          </w:p>
        </w:tc>
      </w:tr>
      <w:tr w:rsidR="00A5597C" w:rsidRPr="00CE1A25" w14:paraId="0CEE5DDA" w14:textId="77777777" w:rsidTr="00A5597C">
        <w:trPr>
          <w:trHeight w:val="300"/>
        </w:trPr>
        <w:tc>
          <w:tcPr>
            <w:tcW w:w="4815" w:type="dxa"/>
            <w:shd w:val="clear" w:color="auto" w:fill="D9D9D9" w:themeFill="background1" w:themeFillShade="D9"/>
            <w:noWrap/>
            <w:hideMark/>
          </w:tcPr>
          <w:p w14:paraId="2461B282" w14:textId="77777777" w:rsidR="00A5597C" w:rsidRPr="00CE1A25" w:rsidRDefault="00A5597C" w:rsidP="00A5597C">
            <w:pPr>
              <w:rPr>
                <w:color w:val="auto"/>
                <w:sz w:val="18"/>
                <w:szCs w:val="18"/>
              </w:rPr>
            </w:pPr>
            <w:r w:rsidRPr="00CE1A25">
              <w:rPr>
                <w:color w:val="auto"/>
                <w:sz w:val="18"/>
                <w:szCs w:val="18"/>
              </w:rPr>
              <w:t>Office Supplies</w:t>
            </w:r>
          </w:p>
        </w:tc>
        <w:tc>
          <w:tcPr>
            <w:tcW w:w="2283" w:type="dxa"/>
            <w:tcBorders>
              <w:top w:val="single" w:sz="4" w:space="0" w:color="auto"/>
              <w:left w:val="nil"/>
              <w:bottom w:val="single" w:sz="4" w:space="0" w:color="auto"/>
              <w:right w:val="nil"/>
            </w:tcBorders>
            <w:shd w:val="clear" w:color="auto" w:fill="auto"/>
            <w:noWrap/>
            <w:vAlign w:val="bottom"/>
          </w:tcPr>
          <w:p w14:paraId="5309F254" w14:textId="49326E79" w:rsidR="00A5597C" w:rsidRPr="00CE1A25" w:rsidRDefault="00A5597C" w:rsidP="00A5597C">
            <w:pPr>
              <w:jc w:val="right"/>
              <w:rPr>
                <w:color w:val="auto"/>
                <w:sz w:val="18"/>
                <w:szCs w:val="18"/>
              </w:rPr>
            </w:pPr>
            <w:r>
              <w:rPr>
                <w:color w:val="000000"/>
              </w:rPr>
              <w:t xml:space="preserve"> 1.08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256D5" w14:textId="56265DA4" w:rsidR="00A5597C" w:rsidRPr="00CE1A25" w:rsidRDefault="00A5597C" w:rsidP="00A5597C">
            <w:pPr>
              <w:jc w:val="right"/>
              <w:rPr>
                <w:color w:val="auto"/>
                <w:sz w:val="18"/>
                <w:szCs w:val="18"/>
              </w:rPr>
            </w:pPr>
            <w:r>
              <w:rPr>
                <w:color w:val="000000"/>
              </w:rPr>
              <w:t xml:space="preserve"> 1.08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1EA0CCF" w14:textId="602FB298" w:rsidR="00A5597C" w:rsidRPr="00CE1A25" w:rsidRDefault="00A5597C" w:rsidP="00A5597C">
            <w:pPr>
              <w:jc w:val="right"/>
              <w:rPr>
                <w:color w:val="auto"/>
                <w:sz w:val="18"/>
                <w:szCs w:val="18"/>
              </w:rPr>
            </w:pPr>
            <w:r>
              <w:rPr>
                <w:color w:val="000000"/>
              </w:rPr>
              <w:t xml:space="preserve"> 1.08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AFA3C77" w14:textId="4B084D04" w:rsidR="00A5597C" w:rsidRPr="00CE1A25" w:rsidRDefault="00A5597C" w:rsidP="00A5597C">
            <w:pPr>
              <w:jc w:val="right"/>
              <w:rPr>
                <w:color w:val="auto"/>
                <w:sz w:val="18"/>
                <w:szCs w:val="18"/>
              </w:rPr>
            </w:pPr>
            <w:r>
              <w:rPr>
                <w:color w:val="000000"/>
              </w:rPr>
              <w:t xml:space="preserve"> 1.08        (34) </w:t>
            </w:r>
          </w:p>
        </w:tc>
      </w:tr>
      <w:tr w:rsidR="00A5597C" w:rsidRPr="00CE1A25" w14:paraId="79D8F0C3" w14:textId="77777777" w:rsidTr="00A5597C">
        <w:trPr>
          <w:trHeight w:val="300"/>
        </w:trPr>
        <w:tc>
          <w:tcPr>
            <w:tcW w:w="4815" w:type="dxa"/>
            <w:shd w:val="clear" w:color="auto" w:fill="D9D9D9" w:themeFill="background1" w:themeFillShade="D9"/>
            <w:noWrap/>
            <w:hideMark/>
          </w:tcPr>
          <w:p w14:paraId="2F9325A6" w14:textId="77777777" w:rsidR="00A5597C" w:rsidRPr="00CE1A25" w:rsidRDefault="00A5597C" w:rsidP="00A5597C">
            <w:pPr>
              <w:rPr>
                <w:color w:val="auto"/>
                <w:sz w:val="18"/>
                <w:szCs w:val="18"/>
              </w:rPr>
            </w:pPr>
            <w:r w:rsidRPr="00CE1A25">
              <w:rPr>
                <w:color w:val="auto"/>
                <w:sz w:val="18"/>
                <w:szCs w:val="18"/>
              </w:rPr>
              <w:t>Insurance</w:t>
            </w:r>
          </w:p>
        </w:tc>
        <w:tc>
          <w:tcPr>
            <w:tcW w:w="2283" w:type="dxa"/>
            <w:tcBorders>
              <w:top w:val="single" w:sz="4" w:space="0" w:color="auto"/>
              <w:left w:val="nil"/>
              <w:bottom w:val="single" w:sz="4" w:space="0" w:color="auto"/>
              <w:right w:val="nil"/>
            </w:tcBorders>
            <w:shd w:val="clear" w:color="auto" w:fill="auto"/>
            <w:noWrap/>
            <w:vAlign w:val="bottom"/>
          </w:tcPr>
          <w:p w14:paraId="3B1826A6" w14:textId="6DC5EFC2" w:rsidR="00A5597C" w:rsidRPr="00CE1A25" w:rsidRDefault="00A5597C" w:rsidP="00A5597C">
            <w:pPr>
              <w:jc w:val="right"/>
              <w:rPr>
                <w:color w:val="auto"/>
                <w:sz w:val="18"/>
                <w:szCs w:val="18"/>
              </w:rPr>
            </w:pPr>
            <w:r>
              <w:rPr>
                <w:color w:val="000000"/>
              </w:rPr>
              <w:t xml:space="preserve"> 5.69        (30)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F83E0" w14:textId="57AFBBB8" w:rsidR="00A5597C" w:rsidRPr="00CE1A25" w:rsidRDefault="00A5597C" w:rsidP="00A5597C">
            <w:pPr>
              <w:jc w:val="right"/>
              <w:rPr>
                <w:color w:val="auto"/>
                <w:sz w:val="18"/>
                <w:szCs w:val="18"/>
              </w:rPr>
            </w:pPr>
            <w:r>
              <w:rPr>
                <w:color w:val="000000"/>
              </w:rPr>
              <w:t xml:space="preserve"> 5.69        (30)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4C2EC7D" w14:textId="16FD96AF" w:rsidR="00A5597C" w:rsidRPr="00CE1A25" w:rsidRDefault="00A5597C" w:rsidP="00A5597C">
            <w:pPr>
              <w:jc w:val="right"/>
              <w:rPr>
                <w:color w:val="auto"/>
                <w:sz w:val="18"/>
                <w:szCs w:val="18"/>
              </w:rPr>
            </w:pPr>
            <w:r>
              <w:rPr>
                <w:color w:val="000000"/>
              </w:rPr>
              <w:t xml:space="preserve"> 5.69        (30)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4F72F28" w14:textId="70CBE5C7" w:rsidR="00A5597C" w:rsidRPr="00CE1A25" w:rsidRDefault="00A5597C" w:rsidP="00A5597C">
            <w:pPr>
              <w:jc w:val="right"/>
              <w:rPr>
                <w:color w:val="auto"/>
                <w:sz w:val="18"/>
                <w:szCs w:val="18"/>
              </w:rPr>
            </w:pPr>
            <w:r>
              <w:rPr>
                <w:color w:val="000000"/>
              </w:rPr>
              <w:t xml:space="preserve"> 5.69        (30) </w:t>
            </w:r>
          </w:p>
        </w:tc>
      </w:tr>
      <w:tr w:rsidR="00A5597C" w:rsidRPr="00CE1A25" w14:paraId="78B1EE61" w14:textId="77777777" w:rsidTr="00A5597C">
        <w:trPr>
          <w:trHeight w:val="300"/>
        </w:trPr>
        <w:tc>
          <w:tcPr>
            <w:tcW w:w="4815" w:type="dxa"/>
            <w:shd w:val="clear" w:color="auto" w:fill="D9D9D9" w:themeFill="background1" w:themeFillShade="D9"/>
            <w:noWrap/>
            <w:hideMark/>
          </w:tcPr>
          <w:p w14:paraId="129963E0" w14:textId="77777777" w:rsidR="00A5597C" w:rsidRPr="00CE1A25" w:rsidRDefault="00A5597C" w:rsidP="00A5597C">
            <w:pPr>
              <w:rPr>
                <w:color w:val="auto"/>
                <w:sz w:val="18"/>
                <w:szCs w:val="18"/>
              </w:rPr>
            </w:pPr>
            <w:r w:rsidRPr="00CE1A25">
              <w:rPr>
                <w:color w:val="auto"/>
                <w:sz w:val="18"/>
                <w:szCs w:val="18"/>
              </w:rPr>
              <w:t>Registration Fees</w:t>
            </w:r>
          </w:p>
        </w:tc>
        <w:tc>
          <w:tcPr>
            <w:tcW w:w="2283" w:type="dxa"/>
            <w:tcBorders>
              <w:top w:val="single" w:sz="4" w:space="0" w:color="auto"/>
              <w:left w:val="nil"/>
              <w:bottom w:val="single" w:sz="4" w:space="0" w:color="auto"/>
              <w:right w:val="nil"/>
            </w:tcBorders>
            <w:shd w:val="clear" w:color="auto" w:fill="auto"/>
            <w:noWrap/>
            <w:vAlign w:val="bottom"/>
          </w:tcPr>
          <w:p w14:paraId="219945BE" w14:textId="447E3970" w:rsidR="00A5597C" w:rsidRPr="00CE1A25" w:rsidRDefault="00A5597C" w:rsidP="00A5597C">
            <w:pPr>
              <w:jc w:val="right"/>
              <w:rPr>
                <w:color w:val="auto"/>
                <w:sz w:val="18"/>
                <w:szCs w:val="18"/>
              </w:rPr>
            </w:pPr>
            <w:r>
              <w:rPr>
                <w:color w:val="000000"/>
              </w:rPr>
              <w:t xml:space="preserve"> 3.47        (28)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55ACD" w14:textId="58FB4965" w:rsidR="00A5597C" w:rsidRPr="00CE1A25" w:rsidRDefault="00A5597C" w:rsidP="00A5597C">
            <w:pPr>
              <w:jc w:val="right"/>
              <w:rPr>
                <w:color w:val="auto"/>
                <w:sz w:val="18"/>
                <w:szCs w:val="18"/>
              </w:rPr>
            </w:pPr>
            <w:r>
              <w:rPr>
                <w:color w:val="000000"/>
              </w:rPr>
              <w:t xml:space="preserve"> 3.47        (28)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E49169C" w14:textId="771B5699" w:rsidR="00A5597C" w:rsidRPr="00CE1A25" w:rsidRDefault="00A5597C" w:rsidP="00A5597C">
            <w:pPr>
              <w:jc w:val="right"/>
              <w:rPr>
                <w:color w:val="auto"/>
                <w:sz w:val="18"/>
                <w:szCs w:val="18"/>
              </w:rPr>
            </w:pPr>
            <w:r>
              <w:rPr>
                <w:color w:val="000000"/>
              </w:rPr>
              <w:t xml:space="preserve"> 3.47        (28)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4F5119F" w14:textId="285ABB5A" w:rsidR="00A5597C" w:rsidRPr="00CE1A25" w:rsidRDefault="00A5597C" w:rsidP="00A5597C">
            <w:pPr>
              <w:jc w:val="right"/>
              <w:rPr>
                <w:color w:val="auto"/>
                <w:sz w:val="18"/>
                <w:szCs w:val="18"/>
              </w:rPr>
            </w:pPr>
            <w:r>
              <w:rPr>
                <w:color w:val="000000"/>
              </w:rPr>
              <w:t xml:space="preserve"> 3.47        (28) </w:t>
            </w:r>
          </w:p>
        </w:tc>
      </w:tr>
      <w:tr w:rsidR="00A5597C" w:rsidRPr="00CE1A25" w14:paraId="7D3DC455" w14:textId="77777777" w:rsidTr="00A5597C">
        <w:trPr>
          <w:trHeight w:val="300"/>
        </w:trPr>
        <w:tc>
          <w:tcPr>
            <w:tcW w:w="4815" w:type="dxa"/>
            <w:shd w:val="clear" w:color="auto" w:fill="D9D9D9" w:themeFill="background1" w:themeFillShade="D9"/>
            <w:noWrap/>
            <w:hideMark/>
          </w:tcPr>
          <w:p w14:paraId="5D12F58C" w14:textId="77777777" w:rsidR="00A5597C" w:rsidRPr="00CE1A25" w:rsidRDefault="00A5597C" w:rsidP="00A5597C">
            <w:pPr>
              <w:rPr>
                <w:color w:val="auto"/>
                <w:sz w:val="18"/>
                <w:szCs w:val="18"/>
              </w:rPr>
            </w:pPr>
            <w:r w:rsidRPr="00CE1A25">
              <w:rPr>
                <w:color w:val="auto"/>
                <w:sz w:val="18"/>
                <w:szCs w:val="18"/>
              </w:rPr>
              <w:t>Telephone &amp; Internet</w:t>
            </w:r>
          </w:p>
        </w:tc>
        <w:tc>
          <w:tcPr>
            <w:tcW w:w="2283" w:type="dxa"/>
            <w:tcBorders>
              <w:top w:val="single" w:sz="4" w:space="0" w:color="auto"/>
              <w:left w:val="nil"/>
              <w:bottom w:val="single" w:sz="4" w:space="0" w:color="auto"/>
              <w:right w:val="nil"/>
            </w:tcBorders>
            <w:shd w:val="clear" w:color="auto" w:fill="auto"/>
            <w:noWrap/>
            <w:vAlign w:val="bottom"/>
          </w:tcPr>
          <w:p w14:paraId="3B62F4DF" w14:textId="0C43F023" w:rsidR="00A5597C" w:rsidRPr="00CE1A25" w:rsidRDefault="00A5597C" w:rsidP="00A5597C">
            <w:pPr>
              <w:jc w:val="right"/>
              <w:rPr>
                <w:color w:val="auto"/>
                <w:sz w:val="18"/>
                <w:szCs w:val="18"/>
              </w:rPr>
            </w:pPr>
            <w:r>
              <w:rPr>
                <w:color w:val="000000"/>
              </w:rPr>
              <w:t xml:space="preserve"> 1.23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8CFE6" w14:textId="7268D65A" w:rsidR="00A5597C" w:rsidRPr="00CE1A25" w:rsidRDefault="00A5597C" w:rsidP="00A5597C">
            <w:pPr>
              <w:jc w:val="right"/>
              <w:rPr>
                <w:color w:val="auto"/>
                <w:sz w:val="18"/>
                <w:szCs w:val="18"/>
              </w:rPr>
            </w:pPr>
            <w:r>
              <w:rPr>
                <w:color w:val="000000"/>
              </w:rPr>
              <w:t xml:space="preserve"> 1.23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02C8FF0" w14:textId="44A17107" w:rsidR="00A5597C" w:rsidRPr="00CE1A25" w:rsidRDefault="00A5597C" w:rsidP="00A5597C">
            <w:pPr>
              <w:jc w:val="right"/>
              <w:rPr>
                <w:color w:val="auto"/>
                <w:sz w:val="18"/>
                <w:szCs w:val="18"/>
              </w:rPr>
            </w:pPr>
            <w:r>
              <w:rPr>
                <w:color w:val="000000"/>
              </w:rPr>
              <w:t xml:space="preserve"> 1.23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89A9473" w14:textId="62B9D9EB" w:rsidR="00A5597C" w:rsidRPr="00CE1A25" w:rsidRDefault="00A5597C" w:rsidP="00A5597C">
            <w:pPr>
              <w:jc w:val="right"/>
              <w:rPr>
                <w:color w:val="auto"/>
                <w:sz w:val="18"/>
                <w:szCs w:val="18"/>
              </w:rPr>
            </w:pPr>
            <w:r>
              <w:rPr>
                <w:color w:val="000000"/>
              </w:rPr>
              <w:t xml:space="preserve"> 1.23        (36) </w:t>
            </w:r>
          </w:p>
        </w:tc>
      </w:tr>
      <w:tr w:rsidR="00A5597C" w:rsidRPr="00CE1A25" w14:paraId="7D8CFF53" w14:textId="77777777" w:rsidTr="00A5597C">
        <w:trPr>
          <w:trHeight w:val="300"/>
        </w:trPr>
        <w:tc>
          <w:tcPr>
            <w:tcW w:w="4815" w:type="dxa"/>
            <w:shd w:val="clear" w:color="auto" w:fill="D9D9D9" w:themeFill="background1" w:themeFillShade="D9"/>
            <w:noWrap/>
            <w:hideMark/>
          </w:tcPr>
          <w:p w14:paraId="45A1F8CC" w14:textId="77777777" w:rsidR="00A5597C" w:rsidRPr="00CE1A25" w:rsidRDefault="00A5597C" w:rsidP="00A5597C">
            <w:pPr>
              <w:rPr>
                <w:color w:val="auto"/>
                <w:sz w:val="18"/>
                <w:szCs w:val="18"/>
              </w:rPr>
            </w:pPr>
            <w:r w:rsidRPr="00CE1A25">
              <w:rPr>
                <w:color w:val="auto"/>
                <w:sz w:val="18"/>
                <w:szCs w:val="18"/>
              </w:rPr>
              <w:t>Council Tax / rates</w:t>
            </w:r>
          </w:p>
        </w:tc>
        <w:tc>
          <w:tcPr>
            <w:tcW w:w="2283" w:type="dxa"/>
            <w:tcBorders>
              <w:top w:val="single" w:sz="4" w:space="0" w:color="auto"/>
              <w:left w:val="nil"/>
              <w:bottom w:val="single" w:sz="4" w:space="0" w:color="auto"/>
              <w:right w:val="nil"/>
            </w:tcBorders>
            <w:shd w:val="clear" w:color="auto" w:fill="auto"/>
            <w:noWrap/>
            <w:vAlign w:val="bottom"/>
          </w:tcPr>
          <w:p w14:paraId="71D29721" w14:textId="3E905E7C" w:rsidR="00A5597C" w:rsidRPr="00CE1A25" w:rsidRDefault="00A5597C" w:rsidP="00A5597C">
            <w:pPr>
              <w:jc w:val="right"/>
              <w:rPr>
                <w:color w:val="auto"/>
                <w:sz w:val="18"/>
                <w:szCs w:val="18"/>
              </w:rPr>
            </w:pPr>
            <w:r>
              <w:rPr>
                <w:color w:val="000000"/>
              </w:rPr>
              <w:t xml:space="preserve"> 0.64        (32)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CB1D8" w14:textId="78068A9D" w:rsidR="00A5597C" w:rsidRPr="00CE1A25" w:rsidRDefault="00A5597C" w:rsidP="00A5597C">
            <w:pPr>
              <w:jc w:val="right"/>
              <w:rPr>
                <w:color w:val="auto"/>
                <w:sz w:val="18"/>
                <w:szCs w:val="18"/>
              </w:rPr>
            </w:pPr>
            <w:r>
              <w:rPr>
                <w:color w:val="000000"/>
              </w:rPr>
              <w:t xml:space="preserve"> 0.64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73F71D4" w14:textId="6AF91470" w:rsidR="00A5597C" w:rsidRPr="00CE1A25" w:rsidRDefault="00A5597C" w:rsidP="00A5597C">
            <w:pPr>
              <w:jc w:val="right"/>
              <w:rPr>
                <w:color w:val="auto"/>
                <w:sz w:val="18"/>
                <w:szCs w:val="18"/>
              </w:rPr>
            </w:pPr>
            <w:r>
              <w:rPr>
                <w:color w:val="000000"/>
              </w:rPr>
              <w:t xml:space="preserve"> 0.64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7FE9AFE" w14:textId="2CDD45D2" w:rsidR="00A5597C" w:rsidRPr="00CE1A25" w:rsidRDefault="00A5597C" w:rsidP="00A5597C">
            <w:pPr>
              <w:jc w:val="right"/>
              <w:rPr>
                <w:color w:val="auto"/>
                <w:sz w:val="18"/>
                <w:szCs w:val="18"/>
              </w:rPr>
            </w:pPr>
            <w:r>
              <w:rPr>
                <w:color w:val="000000"/>
              </w:rPr>
              <w:t xml:space="preserve"> 0.64        (32) </w:t>
            </w:r>
          </w:p>
        </w:tc>
      </w:tr>
      <w:tr w:rsidR="00A5597C" w:rsidRPr="00CE1A25" w14:paraId="1F9CF9F3" w14:textId="77777777" w:rsidTr="00A5597C">
        <w:trPr>
          <w:trHeight w:val="300"/>
        </w:trPr>
        <w:tc>
          <w:tcPr>
            <w:tcW w:w="4815" w:type="dxa"/>
            <w:shd w:val="clear" w:color="auto" w:fill="D9D9D9" w:themeFill="background1" w:themeFillShade="D9"/>
            <w:noWrap/>
            <w:hideMark/>
          </w:tcPr>
          <w:p w14:paraId="252C1980" w14:textId="77777777" w:rsidR="00A5597C" w:rsidRPr="00CE1A25" w:rsidRDefault="00A5597C" w:rsidP="00A5597C">
            <w:pPr>
              <w:rPr>
                <w:color w:val="auto"/>
                <w:sz w:val="18"/>
                <w:szCs w:val="18"/>
              </w:rPr>
            </w:pPr>
            <w:r w:rsidRPr="00CE1A25">
              <w:rPr>
                <w:color w:val="auto"/>
                <w:sz w:val="18"/>
                <w:szCs w:val="18"/>
              </w:rPr>
              <w:t>Electricity, Gas &amp; Water</w:t>
            </w:r>
          </w:p>
        </w:tc>
        <w:tc>
          <w:tcPr>
            <w:tcW w:w="2283" w:type="dxa"/>
            <w:tcBorders>
              <w:top w:val="single" w:sz="4" w:space="0" w:color="auto"/>
              <w:left w:val="nil"/>
              <w:bottom w:val="single" w:sz="4" w:space="0" w:color="auto"/>
              <w:right w:val="nil"/>
            </w:tcBorders>
            <w:shd w:val="clear" w:color="auto" w:fill="auto"/>
            <w:noWrap/>
            <w:vAlign w:val="bottom"/>
          </w:tcPr>
          <w:p w14:paraId="27DB1134" w14:textId="1F54370B" w:rsidR="00A5597C" w:rsidRPr="00CE1A25" w:rsidRDefault="00A5597C" w:rsidP="00A5597C">
            <w:pPr>
              <w:jc w:val="right"/>
              <w:rPr>
                <w:color w:val="auto"/>
                <w:sz w:val="18"/>
                <w:szCs w:val="18"/>
              </w:rPr>
            </w:pPr>
            <w:r>
              <w:rPr>
                <w:color w:val="000000"/>
              </w:rPr>
              <w:t xml:space="preserve"> 24.17        (33)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2FB93B" w14:textId="5F28B8EC" w:rsidR="00A5597C" w:rsidRPr="00CE1A25" w:rsidRDefault="00A5597C" w:rsidP="00A5597C">
            <w:pPr>
              <w:jc w:val="right"/>
              <w:rPr>
                <w:color w:val="auto"/>
                <w:sz w:val="18"/>
                <w:szCs w:val="18"/>
              </w:rPr>
            </w:pPr>
            <w:r>
              <w:rPr>
                <w:color w:val="000000"/>
              </w:rPr>
              <w:t xml:space="preserve"> 24.17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3E1CEE5" w14:textId="32FD47F0" w:rsidR="00A5597C" w:rsidRPr="00CE1A25" w:rsidRDefault="00A5597C" w:rsidP="00A5597C">
            <w:pPr>
              <w:jc w:val="right"/>
              <w:rPr>
                <w:color w:val="auto"/>
                <w:sz w:val="18"/>
                <w:szCs w:val="18"/>
              </w:rPr>
            </w:pPr>
            <w:r>
              <w:rPr>
                <w:color w:val="000000"/>
              </w:rPr>
              <w:t xml:space="preserve"> 24.17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8CB0573" w14:textId="378267F6" w:rsidR="00A5597C" w:rsidRPr="00CE1A25" w:rsidRDefault="00A5597C" w:rsidP="00A5597C">
            <w:pPr>
              <w:jc w:val="right"/>
              <w:rPr>
                <w:color w:val="auto"/>
                <w:sz w:val="18"/>
                <w:szCs w:val="18"/>
              </w:rPr>
            </w:pPr>
            <w:r>
              <w:rPr>
                <w:color w:val="000000"/>
              </w:rPr>
              <w:t xml:space="preserve"> 24.17        (33) </w:t>
            </w:r>
          </w:p>
        </w:tc>
      </w:tr>
      <w:tr w:rsidR="00A5597C" w:rsidRPr="00CE1A25" w14:paraId="48EBD86E" w14:textId="77777777" w:rsidTr="00A5597C">
        <w:trPr>
          <w:trHeight w:val="300"/>
        </w:trPr>
        <w:tc>
          <w:tcPr>
            <w:tcW w:w="4815" w:type="dxa"/>
            <w:shd w:val="clear" w:color="auto" w:fill="D9D9D9" w:themeFill="background1" w:themeFillShade="D9"/>
            <w:noWrap/>
            <w:hideMark/>
          </w:tcPr>
          <w:p w14:paraId="642DABC7" w14:textId="77777777" w:rsidR="00A5597C" w:rsidRPr="00CE1A25" w:rsidRDefault="00A5597C" w:rsidP="00A5597C">
            <w:pPr>
              <w:rPr>
                <w:color w:val="auto"/>
                <w:sz w:val="18"/>
                <w:szCs w:val="18"/>
              </w:rPr>
            </w:pPr>
            <w:r w:rsidRPr="00CE1A25">
              <w:rPr>
                <w:color w:val="auto"/>
                <w:sz w:val="18"/>
                <w:szCs w:val="18"/>
              </w:rPr>
              <w:t>Trade and Clinical Waste</w:t>
            </w:r>
          </w:p>
        </w:tc>
        <w:tc>
          <w:tcPr>
            <w:tcW w:w="2283" w:type="dxa"/>
            <w:tcBorders>
              <w:top w:val="single" w:sz="4" w:space="0" w:color="auto"/>
              <w:left w:val="nil"/>
              <w:bottom w:val="single" w:sz="4" w:space="0" w:color="auto"/>
              <w:right w:val="nil"/>
            </w:tcBorders>
            <w:shd w:val="clear" w:color="auto" w:fill="auto"/>
            <w:noWrap/>
            <w:vAlign w:val="bottom"/>
          </w:tcPr>
          <w:p w14:paraId="4723DC97" w14:textId="0FFBB11B" w:rsidR="00A5597C" w:rsidRPr="00CE1A25" w:rsidRDefault="00A5597C" w:rsidP="00A5597C">
            <w:pPr>
              <w:jc w:val="right"/>
              <w:rPr>
                <w:color w:val="auto"/>
                <w:sz w:val="18"/>
                <w:szCs w:val="18"/>
              </w:rPr>
            </w:pPr>
            <w:r>
              <w:rPr>
                <w:color w:val="000000"/>
              </w:rPr>
              <w:t xml:space="preserve"> 2.75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26AE4" w14:textId="585C6F01" w:rsidR="00A5597C" w:rsidRPr="00CE1A25" w:rsidRDefault="00A5597C" w:rsidP="00A5597C">
            <w:pPr>
              <w:jc w:val="right"/>
              <w:rPr>
                <w:color w:val="auto"/>
                <w:sz w:val="18"/>
                <w:szCs w:val="18"/>
              </w:rPr>
            </w:pPr>
            <w:r>
              <w:rPr>
                <w:color w:val="000000"/>
              </w:rPr>
              <w:t xml:space="preserve"> 2.75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45B8518" w14:textId="4C0EC6AA" w:rsidR="00A5597C" w:rsidRPr="00CE1A25" w:rsidRDefault="00A5597C" w:rsidP="00A5597C">
            <w:pPr>
              <w:jc w:val="right"/>
              <w:rPr>
                <w:color w:val="auto"/>
                <w:sz w:val="18"/>
                <w:szCs w:val="18"/>
              </w:rPr>
            </w:pPr>
            <w:r>
              <w:rPr>
                <w:color w:val="000000"/>
              </w:rPr>
              <w:t xml:space="preserve"> 2.75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60DC282" w14:textId="0570B67F" w:rsidR="00A5597C" w:rsidRPr="00CE1A25" w:rsidRDefault="00A5597C" w:rsidP="00A5597C">
            <w:pPr>
              <w:jc w:val="right"/>
              <w:rPr>
                <w:color w:val="auto"/>
                <w:sz w:val="18"/>
                <w:szCs w:val="18"/>
              </w:rPr>
            </w:pPr>
            <w:r>
              <w:rPr>
                <w:color w:val="000000"/>
              </w:rPr>
              <w:t xml:space="preserve"> 2.75        (34) </w:t>
            </w:r>
          </w:p>
        </w:tc>
      </w:tr>
      <w:tr w:rsidR="00A5597C" w:rsidRPr="00CE1A25" w14:paraId="1C0EE437" w14:textId="77777777" w:rsidTr="00A5597C">
        <w:trPr>
          <w:trHeight w:val="300"/>
        </w:trPr>
        <w:tc>
          <w:tcPr>
            <w:tcW w:w="4815" w:type="dxa"/>
            <w:shd w:val="clear" w:color="auto" w:fill="D9D9D9" w:themeFill="background1" w:themeFillShade="D9"/>
            <w:noWrap/>
            <w:hideMark/>
          </w:tcPr>
          <w:p w14:paraId="1ADAE0AF" w14:textId="77777777" w:rsidR="00A5597C" w:rsidRPr="00CE1A25" w:rsidRDefault="00A5597C" w:rsidP="00A5597C">
            <w:pPr>
              <w:rPr>
                <w:color w:val="auto"/>
                <w:sz w:val="18"/>
                <w:szCs w:val="18"/>
              </w:rPr>
            </w:pPr>
            <w:r w:rsidRPr="00CE1A25">
              <w:rPr>
                <w:color w:val="auto"/>
                <w:sz w:val="18"/>
                <w:szCs w:val="18"/>
              </w:rPr>
              <w:t>Transport &amp; Activities</w:t>
            </w:r>
          </w:p>
        </w:tc>
        <w:tc>
          <w:tcPr>
            <w:tcW w:w="2283" w:type="dxa"/>
            <w:tcBorders>
              <w:top w:val="single" w:sz="4" w:space="0" w:color="auto"/>
              <w:left w:val="nil"/>
              <w:bottom w:val="single" w:sz="4" w:space="0" w:color="auto"/>
              <w:right w:val="nil"/>
            </w:tcBorders>
            <w:shd w:val="clear" w:color="auto" w:fill="auto"/>
            <w:noWrap/>
            <w:vAlign w:val="bottom"/>
          </w:tcPr>
          <w:p w14:paraId="59EA628E" w14:textId="6F224689" w:rsidR="00A5597C" w:rsidRPr="00CE1A25" w:rsidRDefault="00A5597C" w:rsidP="00A5597C">
            <w:pPr>
              <w:jc w:val="right"/>
              <w:rPr>
                <w:color w:val="auto"/>
                <w:sz w:val="18"/>
                <w:szCs w:val="18"/>
              </w:rPr>
            </w:pPr>
            <w:r>
              <w:rPr>
                <w:color w:val="000000"/>
              </w:rPr>
              <w:t xml:space="preserve"> 0.79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3B848" w14:textId="37C7FCD0" w:rsidR="00A5597C" w:rsidRPr="00CE1A25" w:rsidRDefault="00A5597C" w:rsidP="00A5597C">
            <w:pPr>
              <w:jc w:val="right"/>
              <w:rPr>
                <w:color w:val="auto"/>
                <w:sz w:val="18"/>
                <w:szCs w:val="18"/>
              </w:rPr>
            </w:pPr>
            <w:r>
              <w:rPr>
                <w:color w:val="000000"/>
              </w:rPr>
              <w:t xml:space="preserve"> 0.79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8515BB3" w14:textId="74AFF334" w:rsidR="00A5597C" w:rsidRPr="00CE1A25" w:rsidRDefault="00A5597C" w:rsidP="00A5597C">
            <w:pPr>
              <w:jc w:val="right"/>
              <w:rPr>
                <w:color w:val="auto"/>
                <w:sz w:val="18"/>
                <w:szCs w:val="18"/>
              </w:rPr>
            </w:pPr>
            <w:r>
              <w:rPr>
                <w:color w:val="000000"/>
              </w:rPr>
              <w:t xml:space="preserve"> 0.79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437CF0C" w14:textId="5841A091" w:rsidR="00A5597C" w:rsidRPr="00CE1A25" w:rsidRDefault="00A5597C" w:rsidP="00A5597C">
            <w:pPr>
              <w:jc w:val="right"/>
              <w:rPr>
                <w:color w:val="auto"/>
                <w:sz w:val="18"/>
                <w:szCs w:val="18"/>
              </w:rPr>
            </w:pPr>
            <w:r>
              <w:rPr>
                <w:color w:val="000000"/>
              </w:rPr>
              <w:t xml:space="preserve"> 0.79        (36) </w:t>
            </w:r>
          </w:p>
        </w:tc>
      </w:tr>
      <w:tr w:rsidR="00A5597C" w:rsidRPr="00CE1A25" w14:paraId="7166872D" w14:textId="77777777" w:rsidTr="00A5597C">
        <w:trPr>
          <w:trHeight w:val="300"/>
        </w:trPr>
        <w:tc>
          <w:tcPr>
            <w:tcW w:w="4815" w:type="dxa"/>
            <w:shd w:val="clear" w:color="auto" w:fill="D9D9D9" w:themeFill="background1" w:themeFillShade="D9"/>
            <w:noWrap/>
            <w:hideMark/>
          </w:tcPr>
          <w:p w14:paraId="0255D858" w14:textId="77777777" w:rsidR="00A5597C" w:rsidRPr="00CE1A25" w:rsidRDefault="00A5597C" w:rsidP="00A5597C">
            <w:pPr>
              <w:rPr>
                <w:color w:val="auto"/>
                <w:sz w:val="18"/>
                <w:szCs w:val="18"/>
              </w:rPr>
            </w:pPr>
            <w:r w:rsidRPr="00CE1A25">
              <w:rPr>
                <w:color w:val="auto"/>
                <w:sz w:val="18"/>
                <w:szCs w:val="18"/>
              </w:rPr>
              <w:t xml:space="preserve">Other Care Home </w:t>
            </w:r>
          </w:p>
        </w:tc>
        <w:tc>
          <w:tcPr>
            <w:tcW w:w="2283" w:type="dxa"/>
            <w:tcBorders>
              <w:top w:val="single" w:sz="4" w:space="0" w:color="auto"/>
              <w:left w:val="nil"/>
              <w:bottom w:val="single" w:sz="4" w:space="0" w:color="auto"/>
              <w:right w:val="nil"/>
            </w:tcBorders>
            <w:shd w:val="clear" w:color="auto" w:fill="auto"/>
            <w:noWrap/>
            <w:vAlign w:val="bottom"/>
          </w:tcPr>
          <w:p w14:paraId="32594A96" w14:textId="394606FE" w:rsidR="00A5597C" w:rsidRPr="00CE1A25" w:rsidRDefault="00A5597C" w:rsidP="00A5597C">
            <w:pPr>
              <w:jc w:val="right"/>
              <w:rPr>
                <w:color w:val="auto"/>
                <w:sz w:val="18"/>
                <w:szCs w:val="18"/>
              </w:rPr>
            </w:pPr>
            <w:r>
              <w:rPr>
                <w:color w:val="000000"/>
              </w:rPr>
              <w:t xml:space="preserve"> 1.13        (31)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F3330" w14:textId="30CBB5AA" w:rsidR="00A5597C" w:rsidRPr="00CE1A25" w:rsidRDefault="00A5597C" w:rsidP="00A5597C">
            <w:pPr>
              <w:jc w:val="right"/>
              <w:rPr>
                <w:color w:val="auto"/>
                <w:sz w:val="18"/>
                <w:szCs w:val="18"/>
              </w:rPr>
            </w:pPr>
            <w:r>
              <w:rPr>
                <w:color w:val="000000"/>
              </w:rPr>
              <w:t xml:space="preserve"> 1.13        (31)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EAB88FC" w14:textId="6578BFD5" w:rsidR="00A5597C" w:rsidRPr="00CE1A25" w:rsidRDefault="00A5597C" w:rsidP="00A5597C">
            <w:pPr>
              <w:jc w:val="right"/>
              <w:rPr>
                <w:color w:val="auto"/>
                <w:sz w:val="18"/>
                <w:szCs w:val="18"/>
              </w:rPr>
            </w:pPr>
            <w:r>
              <w:rPr>
                <w:color w:val="000000"/>
              </w:rPr>
              <w:t xml:space="preserve"> 1.13        (31)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5B30F80" w14:textId="7597EDC6" w:rsidR="00A5597C" w:rsidRPr="00CE1A25" w:rsidRDefault="00A5597C" w:rsidP="00A5597C">
            <w:pPr>
              <w:jc w:val="right"/>
              <w:rPr>
                <w:color w:val="auto"/>
                <w:sz w:val="18"/>
                <w:szCs w:val="18"/>
              </w:rPr>
            </w:pPr>
            <w:r>
              <w:rPr>
                <w:color w:val="000000"/>
              </w:rPr>
              <w:t xml:space="preserve"> 1.13        (31) </w:t>
            </w:r>
          </w:p>
        </w:tc>
      </w:tr>
      <w:tr w:rsidR="00A5597C" w:rsidRPr="00CE1A25" w14:paraId="3114766C" w14:textId="77777777" w:rsidTr="00A5597C">
        <w:trPr>
          <w:trHeight w:val="300"/>
        </w:trPr>
        <w:tc>
          <w:tcPr>
            <w:tcW w:w="4815" w:type="dxa"/>
            <w:shd w:val="clear" w:color="auto" w:fill="D9D9D9" w:themeFill="background1" w:themeFillShade="D9"/>
            <w:noWrap/>
            <w:hideMark/>
          </w:tcPr>
          <w:p w14:paraId="055CB5EC" w14:textId="77777777" w:rsidR="00A5597C" w:rsidRPr="00CE1A25" w:rsidRDefault="00A5597C" w:rsidP="00A5597C">
            <w:pPr>
              <w:rPr>
                <w:b/>
                <w:bCs/>
                <w:color w:val="auto"/>
                <w:sz w:val="18"/>
                <w:szCs w:val="18"/>
              </w:rPr>
            </w:pPr>
            <w:r w:rsidRPr="00CE1A25">
              <w:rPr>
                <w:b/>
                <w:bCs/>
                <w:color w:val="auto"/>
                <w:sz w:val="18"/>
                <w:szCs w:val="18"/>
              </w:rPr>
              <w:t>Head Office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BD9DA" w14:textId="1FE6A07A" w:rsidR="00A5597C" w:rsidRPr="00CE1A25" w:rsidRDefault="00A5597C" w:rsidP="00A5597C">
            <w:pPr>
              <w:jc w:val="right"/>
              <w:rPr>
                <w:b/>
                <w:bCs/>
                <w:color w:val="auto"/>
                <w:sz w:val="18"/>
                <w:szCs w:val="18"/>
              </w:rPr>
            </w:pPr>
            <w:r>
              <w:rPr>
                <w:b/>
                <w:bCs/>
                <w:color w:val="000000"/>
              </w:rPr>
              <w:t xml:space="preserve">                 25.15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1A16619" w14:textId="433AA0BB" w:rsidR="00A5597C" w:rsidRPr="00CE1A25" w:rsidRDefault="00A5597C" w:rsidP="00A5597C">
            <w:pPr>
              <w:jc w:val="right"/>
              <w:rPr>
                <w:b/>
                <w:bCs/>
                <w:color w:val="auto"/>
                <w:sz w:val="18"/>
                <w:szCs w:val="18"/>
              </w:rPr>
            </w:pPr>
            <w:r>
              <w:rPr>
                <w:b/>
                <w:bCs/>
                <w:color w:val="000000"/>
              </w:rPr>
              <w:t xml:space="preserve">            25.15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7D6A81F" w14:textId="7DAC44EC" w:rsidR="00A5597C" w:rsidRPr="00CE1A25" w:rsidRDefault="00A5597C" w:rsidP="00A5597C">
            <w:pPr>
              <w:jc w:val="right"/>
              <w:rPr>
                <w:b/>
                <w:bCs/>
                <w:color w:val="auto"/>
                <w:sz w:val="18"/>
                <w:szCs w:val="18"/>
              </w:rPr>
            </w:pPr>
            <w:r>
              <w:rPr>
                <w:b/>
                <w:bCs/>
                <w:color w:val="000000"/>
              </w:rPr>
              <w:t xml:space="preserve">            25.15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0FC7B56" w14:textId="4005F5EF" w:rsidR="00A5597C" w:rsidRPr="00CE1A25" w:rsidRDefault="00A5597C" w:rsidP="00A5597C">
            <w:pPr>
              <w:jc w:val="right"/>
              <w:rPr>
                <w:b/>
                <w:bCs/>
                <w:color w:val="auto"/>
                <w:sz w:val="18"/>
                <w:szCs w:val="18"/>
              </w:rPr>
            </w:pPr>
            <w:r>
              <w:rPr>
                <w:b/>
                <w:bCs/>
                <w:color w:val="000000"/>
              </w:rPr>
              <w:t xml:space="preserve">            25.15 </w:t>
            </w:r>
          </w:p>
        </w:tc>
      </w:tr>
      <w:tr w:rsidR="00A5597C" w:rsidRPr="00CE1A25" w14:paraId="3C4DF5B5" w14:textId="77777777" w:rsidTr="00A5597C">
        <w:trPr>
          <w:trHeight w:val="300"/>
        </w:trPr>
        <w:tc>
          <w:tcPr>
            <w:tcW w:w="4815" w:type="dxa"/>
            <w:shd w:val="clear" w:color="auto" w:fill="D9D9D9" w:themeFill="background1" w:themeFillShade="D9"/>
            <w:noWrap/>
            <w:hideMark/>
          </w:tcPr>
          <w:p w14:paraId="790FE173" w14:textId="77777777" w:rsidR="00A5597C" w:rsidRPr="00CE1A25" w:rsidRDefault="00A5597C" w:rsidP="00A5597C">
            <w:pPr>
              <w:rPr>
                <w:color w:val="auto"/>
                <w:sz w:val="18"/>
                <w:szCs w:val="18"/>
              </w:rPr>
            </w:pPr>
            <w:r w:rsidRPr="00CE1A25">
              <w:rPr>
                <w:color w:val="auto"/>
                <w:sz w:val="18"/>
                <w:szCs w:val="18"/>
              </w:rPr>
              <w:t>Central / Regional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8FF45" w14:textId="2B987F2E" w:rsidR="00A5597C" w:rsidRPr="00CE1A25" w:rsidRDefault="00A5597C" w:rsidP="00A5597C">
            <w:pPr>
              <w:jc w:val="right"/>
              <w:rPr>
                <w:color w:val="auto"/>
                <w:sz w:val="18"/>
                <w:szCs w:val="18"/>
              </w:rPr>
            </w:pPr>
            <w:r>
              <w:rPr>
                <w:color w:val="000000"/>
              </w:rPr>
              <w:t xml:space="preserve"> 17.4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875FC12" w14:textId="6EF2A78F" w:rsidR="00A5597C" w:rsidRPr="00CE1A25" w:rsidRDefault="00A5597C" w:rsidP="00A5597C">
            <w:pPr>
              <w:jc w:val="right"/>
              <w:rPr>
                <w:color w:val="auto"/>
                <w:sz w:val="18"/>
                <w:szCs w:val="18"/>
              </w:rPr>
            </w:pPr>
            <w:r>
              <w:rPr>
                <w:color w:val="000000"/>
              </w:rPr>
              <w:t xml:space="preserve"> 17.4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153F7B7" w14:textId="6BB07665" w:rsidR="00A5597C" w:rsidRPr="00CE1A25" w:rsidRDefault="00A5597C" w:rsidP="00A5597C">
            <w:pPr>
              <w:jc w:val="right"/>
              <w:rPr>
                <w:color w:val="auto"/>
                <w:sz w:val="18"/>
                <w:szCs w:val="18"/>
              </w:rPr>
            </w:pPr>
            <w:r>
              <w:rPr>
                <w:color w:val="000000"/>
              </w:rPr>
              <w:t xml:space="preserve"> 17.4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D52CB4D" w14:textId="7EF33062" w:rsidR="00A5597C" w:rsidRPr="00CE1A25" w:rsidRDefault="00A5597C" w:rsidP="00A5597C">
            <w:pPr>
              <w:jc w:val="right"/>
              <w:rPr>
                <w:color w:val="auto"/>
                <w:sz w:val="18"/>
                <w:szCs w:val="18"/>
              </w:rPr>
            </w:pPr>
            <w:r>
              <w:rPr>
                <w:color w:val="000000"/>
              </w:rPr>
              <w:t xml:space="preserve"> 17.4        (32) </w:t>
            </w:r>
          </w:p>
        </w:tc>
      </w:tr>
      <w:tr w:rsidR="00A5597C" w:rsidRPr="00CE1A25" w14:paraId="5902441A" w14:textId="77777777" w:rsidTr="00A5597C">
        <w:trPr>
          <w:trHeight w:val="300"/>
        </w:trPr>
        <w:tc>
          <w:tcPr>
            <w:tcW w:w="4815" w:type="dxa"/>
            <w:shd w:val="clear" w:color="auto" w:fill="D9D9D9" w:themeFill="background1" w:themeFillShade="D9"/>
            <w:noWrap/>
            <w:hideMark/>
          </w:tcPr>
          <w:p w14:paraId="15D7F098" w14:textId="77777777" w:rsidR="00A5597C" w:rsidRPr="00CE1A25" w:rsidRDefault="00A5597C" w:rsidP="00A5597C">
            <w:pPr>
              <w:rPr>
                <w:color w:val="auto"/>
                <w:sz w:val="18"/>
                <w:szCs w:val="18"/>
              </w:rPr>
            </w:pPr>
            <w:r w:rsidRPr="00CE1A25">
              <w:rPr>
                <w:color w:val="auto"/>
                <w:sz w:val="18"/>
                <w:szCs w:val="18"/>
              </w:rPr>
              <w:t>Support Services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5AC1F" w14:textId="198EDCD3" w:rsidR="00A5597C" w:rsidRPr="00CE1A25" w:rsidRDefault="00A5597C" w:rsidP="00A5597C">
            <w:pPr>
              <w:jc w:val="right"/>
              <w:rPr>
                <w:color w:val="auto"/>
                <w:sz w:val="18"/>
                <w:szCs w:val="18"/>
              </w:rPr>
            </w:pPr>
            <w:r>
              <w:rPr>
                <w:color w:val="000000"/>
              </w:rPr>
              <w:t xml:space="preserve"> 5.26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E18DDE1" w14:textId="3D725834" w:rsidR="00A5597C" w:rsidRPr="00CE1A25" w:rsidRDefault="00A5597C" w:rsidP="00A5597C">
            <w:pPr>
              <w:jc w:val="right"/>
              <w:rPr>
                <w:color w:val="auto"/>
                <w:sz w:val="18"/>
                <w:szCs w:val="18"/>
              </w:rPr>
            </w:pPr>
            <w:r>
              <w:rPr>
                <w:color w:val="000000"/>
              </w:rPr>
              <w:t xml:space="preserve"> 5.26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B04D88D" w14:textId="50CB859E" w:rsidR="00A5597C" w:rsidRPr="00CE1A25" w:rsidRDefault="00A5597C" w:rsidP="00A5597C">
            <w:pPr>
              <w:jc w:val="right"/>
              <w:rPr>
                <w:color w:val="auto"/>
                <w:sz w:val="18"/>
                <w:szCs w:val="18"/>
              </w:rPr>
            </w:pPr>
            <w:r>
              <w:rPr>
                <w:color w:val="000000"/>
              </w:rPr>
              <w:t xml:space="preserve"> 5.26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3F494EF" w14:textId="50C2FDED" w:rsidR="00A5597C" w:rsidRPr="00CE1A25" w:rsidRDefault="00A5597C" w:rsidP="00A5597C">
            <w:pPr>
              <w:jc w:val="right"/>
              <w:rPr>
                <w:color w:val="auto"/>
                <w:sz w:val="18"/>
                <w:szCs w:val="18"/>
              </w:rPr>
            </w:pPr>
            <w:r>
              <w:rPr>
                <w:color w:val="000000"/>
              </w:rPr>
              <w:t xml:space="preserve"> 5.26        (33) </w:t>
            </w:r>
          </w:p>
        </w:tc>
      </w:tr>
      <w:tr w:rsidR="00A5597C" w:rsidRPr="00CE1A25" w14:paraId="37419F1E" w14:textId="77777777" w:rsidTr="00A5597C">
        <w:trPr>
          <w:trHeight w:val="300"/>
        </w:trPr>
        <w:tc>
          <w:tcPr>
            <w:tcW w:w="4815" w:type="dxa"/>
            <w:shd w:val="clear" w:color="auto" w:fill="D9D9D9" w:themeFill="background1" w:themeFillShade="D9"/>
            <w:noWrap/>
            <w:hideMark/>
          </w:tcPr>
          <w:p w14:paraId="46FB8AE3" w14:textId="77777777" w:rsidR="00A5597C" w:rsidRPr="00CE1A25" w:rsidRDefault="00A5597C" w:rsidP="00A5597C">
            <w:pPr>
              <w:rPr>
                <w:color w:val="auto"/>
                <w:sz w:val="18"/>
                <w:szCs w:val="18"/>
              </w:rPr>
            </w:pPr>
            <w:r w:rsidRPr="00CE1A25">
              <w:rPr>
                <w:color w:val="auto"/>
                <w:sz w:val="18"/>
                <w:szCs w:val="18"/>
              </w:rPr>
              <w:lastRenderedPageBreak/>
              <w:t>Recruitment, training &amp; vetting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C0074" w14:textId="4927A5BB" w:rsidR="00A5597C" w:rsidRPr="00CE1A25" w:rsidRDefault="00A5597C" w:rsidP="00A5597C">
            <w:pPr>
              <w:jc w:val="right"/>
              <w:rPr>
                <w:color w:val="auto"/>
                <w:sz w:val="18"/>
                <w:szCs w:val="18"/>
              </w:rPr>
            </w:pPr>
            <w:r>
              <w:rPr>
                <w:color w:val="000000"/>
              </w:rPr>
              <w:t xml:space="preserve"> 1.83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67A41C0" w14:textId="5C0616F8" w:rsidR="00A5597C" w:rsidRPr="00CE1A25" w:rsidRDefault="00A5597C" w:rsidP="00A5597C">
            <w:pPr>
              <w:jc w:val="right"/>
              <w:rPr>
                <w:color w:val="auto"/>
                <w:sz w:val="18"/>
                <w:szCs w:val="18"/>
              </w:rPr>
            </w:pPr>
            <w:r>
              <w:rPr>
                <w:color w:val="000000"/>
              </w:rPr>
              <w:t xml:space="preserve"> 1.83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B3933E6" w14:textId="12E9D2F4" w:rsidR="00A5597C" w:rsidRPr="00CE1A25" w:rsidRDefault="00A5597C" w:rsidP="00A5597C">
            <w:pPr>
              <w:jc w:val="right"/>
              <w:rPr>
                <w:color w:val="auto"/>
                <w:sz w:val="18"/>
                <w:szCs w:val="18"/>
              </w:rPr>
            </w:pPr>
            <w:r>
              <w:rPr>
                <w:color w:val="000000"/>
              </w:rPr>
              <w:t xml:space="preserve"> 1.83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C88CD87" w14:textId="76F640CE" w:rsidR="00A5597C" w:rsidRPr="00CE1A25" w:rsidRDefault="00A5597C" w:rsidP="00A5597C">
            <w:pPr>
              <w:jc w:val="right"/>
              <w:rPr>
                <w:color w:val="auto"/>
                <w:sz w:val="18"/>
                <w:szCs w:val="18"/>
              </w:rPr>
            </w:pPr>
            <w:r>
              <w:rPr>
                <w:color w:val="000000"/>
              </w:rPr>
              <w:t xml:space="preserve"> 1.83        (33) </w:t>
            </w:r>
          </w:p>
        </w:tc>
      </w:tr>
      <w:tr w:rsidR="00A5597C" w:rsidRPr="00CE1A25" w14:paraId="2922E116" w14:textId="77777777" w:rsidTr="00A5597C">
        <w:trPr>
          <w:trHeight w:val="300"/>
        </w:trPr>
        <w:tc>
          <w:tcPr>
            <w:tcW w:w="4815" w:type="dxa"/>
            <w:shd w:val="clear" w:color="auto" w:fill="D9D9D9" w:themeFill="background1" w:themeFillShade="D9"/>
            <w:noWrap/>
            <w:hideMark/>
          </w:tcPr>
          <w:p w14:paraId="6B820B07" w14:textId="77777777" w:rsidR="00A5597C" w:rsidRPr="00CE1A25" w:rsidRDefault="00A5597C" w:rsidP="00A5597C">
            <w:pPr>
              <w:rPr>
                <w:color w:val="auto"/>
                <w:sz w:val="18"/>
                <w:szCs w:val="18"/>
              </w:rPr>
            </w:pPr>
            <w:r w:rsidRPr="00CE1A25">
              <w:rPr>
                <w:color w:val="auto"/>
                <w:sz w:val="18"/>
                <w:szCs w:val="18"/>
              </w:rPr>
              <w:t>Other head office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DF02B" w14:textId="6F82ED77" w:rsidR="00A5597C" w:rsidRPr="00CE1A25" w:rsidRDefault="00A5597C" w:rsidP="00A5597C">
            <w:pPr>
              <w:jc w:val="right"/>
              <w:rPr>
                <w:color w:val="auto"/>
                <w:sz w:val="18"/>
                <w:szCs w:val="18"/>
              </w:rPr>
            </w:pPr>
            <w:r>
              <w:rPr>
                <w:color w:val="000000"/>
              </w:rPr>
              <w:t xml:space="preserve"> 0.66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1239FBA" w14:textId="12C2495A" w:rsidR="00A5597C" w:rsidRPr="00CE1A25" w:rsidRDefault="00A5597C" w:rsidP="00A5597C">
            <w:pPr>
              <w:jc w:val="right"/>
              <w:rPr>
                <w:color w:val="auto"/>
                <w:sz w:val="18"/>
                <w:szCs w:val="18"/>
              </w:rPr>
            </w:pPr>
            <w:r>
              <w:rPr>
                <w:color w:val="000000"/>
              </w:rPr>
              <w:t xml:space="preserve"> 0.66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EB37105" w14:textId="7ABF2CC7" w:rsidR="00A5597C" w:rsidRPr="00CE1A25" w:rsidRDefault="00A5597C" w:rsidP="00A5597C">
            <w:pPr>
              <w:jc w:val="right"/>
              <w:rPr>
                <w:color w:val="auto"/>
                <w:sz w:val="18"/>
                <w:szCs w:val="18"/>
              </w:rPr>
            </w:pPr>
            <w:r>
              <w:rPr>
                <w:color w:val="000000"/>
              </w:rPr>
              <w:t xml:space="preserve"> 0.66        (22)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503AD79" w14:textId="2D6F844D" w:rsidR="00A5597C" w:rsidRPr="00CE1A25" w:rsidRDefault="00A5597C" w:rsidP="00A5597C">
            <w:pPr>
              <w:jc w:val="right"/>
              <w:rPr>
                <w:color w:val="auto"/>
                <w:sz w:val="18"/>
                <w:szCs w:val="18"/>
              </w:rPr>
            </w:pPr>
            <w:r>
              <w:rPr>
                <w:color w:val="000000"/>
              </w:rPr>
              <w:t xml:space="preserve"> 0.66        (22) </w:t>
            </w:r>
          </w:p>
        </w:tc>
      </w:tr>
      <w:tr w:rsidR="00A5597C" w:rsidRPr="00CE1A25" w14:paraId="3CCCEC68" w14:textId="77777777" w:rsidTr="005E7FD8">
        <w:trPr>
          <w:trHeight w:val="300"/>
        </w:trPr>
        <w:tc>
          <w:tcPr>
            <w:tcW w:w="4815" w:type="dxa"/>
            <w:shd w:val="clear" w:color="auto" w:fill="D9D9D9" w:themeFill="background1" w:themeFillShade="D9"/>
            <w:noWrap/>
            <w:hideMark/>
          </w:tcPr>
          <w:p w14:paraId="3A21D2A6" w14:textId="77777777" w:rsidR="00A5597C" w:rsidRPr="00CE1A25" w:rsidRDefault="00A5597C" w:rsidP="00A5597C">
            <w:pPr>
              <w:rPr>
                <w:b/>
                <w:bCs/>
                <w:color w:val="auto"/>
                <w:sz w:val="18"/>
                <w:szCs w:val="18"/>
              </w:rPr>
            </w:pPr>
            <w:r w:rsidRPr="00CE1A25">
              <w:rPr>
                <w:b/>
                <w:bCs/>
                <w:color w:val="auto"/>
                <w:sz w:val="18"/>
                <w:szCs w:val="18"/>
              </w:rPr>
              <w:t>Sub-total Operating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AF2FC" w14:textId="0B725E21" w:rsidR="00A5597C" w:rsidRPr="00CE1A25" w:rsidRDefault="00A5597C" w:rsidP="00A5597C">
            <w:pPr>
              <w:jc w:val="right"/>
              <w:rPr>
                <w:b/>
                <w:bCs/>
                <w:color w:val="auto"/>
                <w:sz w:val="18"/>
                <w:szCs w:val="18"/>
              </w:rPr>
            </w:pPr>
            <w:r>
              <w:rPr>
                <w:b/>
                <w:bCs/>
                <w:color w:val="000000"/>
              </w:rPr>
              <w:t xml:space="preserve">               512.48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9688EBA" w14:textId="1FE0A741" w:rsidR="00A5597C" w:rsidRPr="00CE1A25" w:rsidRDefault="00A5597C" w:rsidP="00A5597C">
            <w:pPr>
              <w:jc w:val="right"/>
              <w:rPr>
                <w:b/>
                <w:bCs/>
                <w:color w:val="auto"/>
                <w:sz w:val="18"/>
                <w:szCs w:val="18"/>
              </w:rPr>
            </w:pPr>
            <w:r>
              <w:rPr>
                <w:b/>
                <w:bCs/>
                <w:color w:val="000000"/>
              </w:rPr>
              <w:t xml:space="preserve">          525.61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B3865F7" w14:textId="45B66CFB" w:rsidR="00A5597C" w:rsidRPr="00CE1A25" w:rsidRDefault="00A5597C" w:rsidP="00A5597C">
            <w:pPr>
              <w:jc w:val="right"/>
              <w:rPr>
                <w:b/>
                <w:bCs/>
                <w:color w:val="auto"/>
                <w:sz w:val="18"/>
                <w:szCs w:val="18"/>
              </w:rPr>
            </w:pPr>
            <w:r>
              <w:rPr>
                <w:b/>
                <w:bCs/>
                <w:color w:val="000000"/>
              </w:rPr>
              <w:t xml:space="preserve">          687.00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5DAC79E3" w14:textId="774EA6FF" w:rsidR="00A5597C" w:rsidRPr="00CE1A25" w:rsidRDefault="00A5597C" w:rsidP="00A5597C">
            <w:pPr>
              <w:jc w:val="right"/>
              <w:rPr>
                <w:b/>
                <w:bCs/>
                <w:color w:val="auto"/>
                <w:sz w:val="18"/>
                <w:szCs w:val="18"/>
              </w:rPr>
            </w:pPr>
            <w:r>
              <w:rPr>
                <w:b/>
                <w:bCs/>
                <w:color w:val="000000"/>
              </w:rPr>
              <w:t xml:space="preserve">          731.11 </w:t>
            </w:r>
          </w:p>
        </w:tc>
      </w:tr>
      <w:tr w:rsidR="00A5597C" w:rsidRPr="00CE1A25" w14:paraId="07307E9C" w14:textId="77777777" w:rsidTr="00A5597C">
        <w:trPr>
          <w:trHeight w:val="350"/>
        </w:trPr>
        <w:tc>
          <w:tcPr>
            <w:tcW w:w="4815" w:type="dxa"/>
            <w:shd w:val="clear" w:color="auto" w:fill="D9D9D9" w:themeFill="background1" w:themeFillShade="D9"/>
            <w:noWrap/>
            <w:hideMark/>
          </w:tcPr>
          <w:p w14:paraId="1C961DB0" w14:textId="77777777" w:rsidR="00A5597C" w:rsidRPr="00CE1A25" w:rsidRDefault="00A5597C" w:rsidP="00A5597C">
            <w:pPr>
              <w:rPr>
                <w:b/>
                <w:bCs/>
                <w:color w:val="auto"/>
                <w:sz w:val="18"/>
                <w:szCs w:val="18"/>
              </w:rPr>
            </w:pPr>
            <w:r w:rsidRPr="00CE1A25">
              <w:rPr>
                <w:b/>
                <w:bCs/>
                <w:color w:val="auto"/>
                <w:sz w:val="18"/>
                <w:szCs w:val="18"/>
              </w:rPr>
              <w:t>Return on Operations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D9C7D" w14:textId="2CB2C506" w:rsidR="00A5597C" w:rsidRPr="00CE1A25" w:rsidRDefault="00A5597C" w:rsidP="00A5597C">
            <w:pPr>
              <w:jc w:val="right"/>
              <w:rPr>
                <w:color w:val="auto"/>
                <w:sz w:val="18"/>
                <w:szCs w:val="18"/>
              </w:rPr>
            </w:pPr>
            <w:r>
              <w:rPr>
                <w:color w:val="000000"/>
              </w:rPr>
              <w:t xml:space="preserve">                      51.25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D69400D" w14:textId="04AE08C8" w:rsidR="00A5597C" w:rsidRPr="00CE1A25" w:rsidRDefault="00A5597C" w:rsidP="00A5597C">
            <w:pPr>
              <w:jc w:val="right"/>
              <w:rPr>
                <w:color w:val="auto"/>
                <w:sz w:val="18"/>
                <w:szCs w:val="18"/>
              </w:rPr>
            </w:pPr>
            <w:r>
              <w:rPr>
                <w:color w:val="000000"/>
              </w:rPr>
              <w:t xml:space="preserve">                 52.56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9CB07FE" w14:textId="70504664" w:rsidR="00A5597C" w:rsidRPr="00CE1A25" w:rsidRDefault="00A5597C" w:rsidP="00A5597C">
            <w:pPr>
              <w:jc w:val="right"/>
              <w:rPr>
                <w:color w:val="auto"/>
                <w:sz w:val="18"/>
                <w:szCs w:val="18"/>
              </w:rPr>
            </w:pPr>
            <w:r>
              <w:rPr>
                <w:color w:val="000000"/>
              </w:rPr>
              <w:t xml:space="preserve">                 68.70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CFE69E0" w14:textId="46662C3A" w:rsidR="00A5597C" w:rsidRPr="00CE1A25" w:rsidRDefault="00A5597C" w:rsidP="00A5597C">
            <w:pPr>
              <w:jc w:val="right"/>
              <w:rPr>
                <w:color w:val="auto"/>
                <w:sz w:val="18"/>
                <w:szCs w:val="18"/>
              </w:rPr>
            </w:pPr>
            <w:r>
              <w:rPr>
                <w:color w:val="000000"/>
              </w:rPr>
              <w:t xml:space="preserve">                 73.11 </w:t>
            </w:r>
          </w:p>
        </w:tc>
      </w:tr>
      <w:tr w:rsidR="00A5597C" w:rsidRPr="00CE1A25" w14:paraId="19446952" w14:textId="77777777" w:rsidTr="00A5597C">
        <w:trPr>
          <w:trHeight w:val="350"/>
        </w:trPr>
        <w:tc>
          <w:tcPr>
            <w:tcW w:w="4815" w:type="dxa"/>
            <w:shd w:val="clear" w:color="auto" w:fill="D9D9D9" w:themeFill="background1" w:themeFillShade="D9"/>
            <w:noWrap/>
            <w:hideMark/>
          </w:tcPr>
          <w:p w14:paraId="6A75DE0B" w14:textId="77777777" w:rsidR="00A5597C" w:rsidRPr="00CE1A25" w:rsidRDefault="00A5597C" w:rsidP="00A5597C">
            <w:pPr>
              <w:rPr>
                <w:b/>
                <w:bCs/>
                <w:color w:val="auto"/>
                <w:sz w:val="18"/>
                <w:szCs w:val="18"/>
              </w:rPr>
            </w:pPr>
            <w:r w:rsidRPr="00CE1A25">
              <w:rPr>
                <w:b/>
                <w:bCs/>
                <w:color w:val="auto"/>
                <w:sz w:val="18"/>
                <w:szCs w:val="18"/>
              </w:rPr>
              <w:t>Return on Capital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42EC0" w14:textId="2E727BF6" w:rsidR="00A5597C" w:rsidRPr="00CE1A25" w:rsidRDefault="00A5597C" w:rsidP="00A5597C">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5126506" w14:textId="1F5EACA9" w:rsidR="00A5597C" w:rsidRPr="00CE1A25" w:rsidRDefault="00A5597C" w:rsidP="00A5597C">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DBA78E3" w14:textId="79C2D932" w:rsidR="00A5597C" w:rsidRPr="00CE1A25" w:rsidRDefault="00A5597C" w:rsidP="00A5597C">
            <w:pPr>
              <w:jc w:val="right"/>
              <w:rPr>
                <w:color w:val="auto"/>
                <w:sz w:val="18"/>
                <w:szCs w:val="18"/>
              </w:rPr>
            </w:pPr>
            <w:r>
              <w:rPr>
                <w:color w:val="000000"/>
              </w:rPr>
              <w:t xml:space="preserve">                 68.55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5BC70E9" w14:textId="548C7043" w:rsidR="00A5597C" w:rsidRPr="00CE1A25" w:rsidRDefault="00A5597C" w:rsidP="00A5597C">
            <w:pPr>
              <w:jc w:val="right"/>
              <w:rPr>
                <w:color w:val="auto"/>
                <w:sz w:val="18"/>
                <w:szCs w:val="18"/>
              </w:rPr>
            </w:pPr>
            <w:r>
              <w:rPr>
                <w:color w:val="000000"/>
              </w:rPr>
              <w:t xml:space="preserve">                 68.55 </w:t>
            </w:r>
          </w:p>
        </w:tc>
      </w:tr>
      <w:tr w:rsidR="00A5597C" w:rsidRPr="00CE1A25" w14:paraId="737F5157" w14:textId="77777777" w:rsidTr="00A5597C">
        <w:trPr>
          <w:trHeight w:val="350"/>
        </w:trPr>
        <w:tc>
          <w:tcPr>
            <w:tcW w:w="4815" w:type="dxa"/>
            <w:shd w:val="clear" w:color="auto" w:fill="D9D9D9" w:themeFill="background1" w:themeFillShade="D9"/>
            <w:noWrap/>
            <w:hideMark/>
          </w:tcPr>
          <w:p w14:paraId="70893DFC" w14:textId="77777777" w:rsidR="00A5597C" w:rsidRPr="00CE1A25" w:rsidRDefault="00A5597C" w:rsidP="00A5597C">
            <w:pPr>
              <w:rPr>
                <w:b/>
                <w:bCs/>
                <w:color w:val="auto"/>
                <w:sz w:val="18"/>
                <w:szCs w:val="18"/>
              </w:rPr>
            </w:pPr>
            <w:r w:rsidRPr="00CE1A25">
              <w:rPr>
                <w:b/>
                <w:bCs/>
                <w:color w:val="auto"/>
                <w:sz w:val="18"/>
                <w:szCs w:val="18"/>
              </w:rPr>
              <w:t>Total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BEC86" w14:textId="7886E203" w:rsidR="00A5597C" w:rsidRPr="00CE1A25" w:rsidRDefault="00A5597C" w:rsidP="00A5597C">
            <w:pPr>
              <w:jc w:val="right"/>
              <w:rPr>
                <w:color w:val="auto"/>
                <w:sz w:val="18"/>
                <w:szCs w:val="18"/>
              </w:rPr>
            </w:pPr>
            <w:r>
              <w:rPr>
                <w:b/>
                <w:bCs/>
                <w:color w:val="000000"/>
              </w:rPr>
              <w:t xml:space="preserve">               632.28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64DB3D0" w14:textId="3EEE94B0" w:rsidR="00A5597C" w:rsidRPr="00CE1A25" w:rsidRDefault="00A5597C" w:rsidP="00A5597C">
            <w:pPr>
              <w:jc w:val="right"/>
              <w:rPr>
                <w:color w:val="auto"/>
                <w:sz w:val="18"/>
                <w:szCs w:val="18"/>
              </w:rPr>
            </w:pPr>
            <w:r>
              <w:rPr>
                <w:b/>
                <w:bCs/>
                <w:color w:val="000000"/>
              </w:rPr>
              <w:t xml:space="preserve">          646.72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DF7F1F3" w14:textId="401553E4" w:rsidR="00A5597C" w:rsidRPr="00CE1A25" w:rsidRDefault="00A5597C" w:rsidP="00A5597C">
            <w:pPr>
              <w:jc w:val="right"/>
              <w:rPr>
                <w:color w:val="auto"/>
                <w:sz w:val="18"/>
                <w:szCs w:val="18"/>
              </w:rPr>
            </w:pPr>
            <w:r>
              <w:rPr>
                <w:b/>
                <w:bCs/>
                <w:color w:val="000000"/>
              </w:rPr>
              <w:t xml:space="preserve">          824.25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C09EABF" w14:textId="73B25B74" w:rsidR="00A5597C" w:rsidRPr="00CE1A25" w:rsidRDefault="00A5597C" w:rsidP="00A5597C">
            <w:pPr>
              <w:jc w:val="right"/>
              <w:rPr>
                <w:color w:val="auto"/>
                <w:sz w:val="18"/>
                <w:szCs w:val="18"/>
              </w:rPr>
            </w:pPr>
            <w:r>
              <w:rPr>
                <w:b/>
                <w:bCs/>
                <w:color w:val="000000"/>
              </w:rPr>
              <w:t xml:space="preserve">          872.77 </w:t>
            </w:r>
          </w:p>
        </w:tc>
      </w:tr>
    </w:tbl>
    <w:p w14:paraId="21C7D031" w14:textId="76605A08" w:rsidR="00987C89" w:rsidRDefault="00987C89" w:rsidP="00987C89">
      <w:pPr>
        <w:spacing w:after="0" w:line="280" w:lineRule="exact"/>
        <w:jc w:val="both"/>
        <w:rPr>
          <w:color w:val="auto"/>
        </w:rPr>
      </w:pPr>
    </w:p>
    <w:p w14:paraId="3E924318" w14:textId="514E0364" w:rsidR="00FD122B" w:rsidRPr="00CE1A25" w:rsidRDefault="00FD122B" w:rsidP="00FD122B">
      <w:pPr>
        <w:pStyle w:val="TABLES"/>
        <w:rPr>
          <w:color w:val="auto"/>
        </w:rPr>
      </w:pPr>
      <w:r w:rsidRPr="00CE1A25">
        <w:rPr>
          <w:color w:val="auto"/>
        </w:rPr>
        <w:t xml:space="preserve">Table </w:t>
      </w:r>
      <w:r>
        <w:rPr>
          <w:color w:val="auto"/>
        </w:rPr>
        <w:t xml:space="preserve">6 </w:t>
      </w:r>
      <w:r w:rsidR="003A10F2">
        <w:rPr>
          <w:color w:val="auto"/>
        </w:rPr>
        <w:t>Upper Quartile</w:t>
      </w:r>
      <w:r>
        <w:rPr>
          <w:color w:val="auto"/>
        </w:rPr>
        <w:t>-</w:t>
      </w:r>
      <w:r w:rsidRPr="00CE1A25">
        <w:rPr>
          <w:color w:val="auto"/>
        </w:rPr>
        <w:t xml:space="preserve"> </w:t>
      </w:r>
      <w:r w:rsidR="00A5597C">
        <w:rPr>
          <w:color w:val="auto"/>
        </w:rPr>
        <w:t>C</w:t>
      </w:r>
      <w:r w:rsidRPr="00CE1A25">
        <w:rPr>
          <w:color w:val="auto"/>
        </w:rPr>
        <w:t>osts of care homes (65+) located in Sheffield, £ per week at 2022/23 prices</w:t>
      </w:r>
    </w:p>
    <w:tbl>
      <w:tblPr>
        <w:tblStyle w:val="TableGrid"/>
        <w:tblW w:w="0" w:type="auto"/>
        <w:tblLayout w:type="fixed"/>
        <w:tblLook w:val="04A0" w:firstRow="1" w:lastRow="0" w:firstColumn="1" w:lastColumn="0" w:noHBand="0" w:noVBand="1"/>
      </w:tblPr>
      <w:tblGrid>
        <w:gridCol w:w="4815"/>
        <w:gridCol w:w="2283"/>
        <w:gridCol w:w="2283"/>
        <w:gridCol w:w="2283"/>
        <w:gridCol w:w="2284"/>
      </w:tblGrid>
      <w:tr w:rsidR="00FD122B" w:rsidRPr="00CE1A25" w14:paraId="4AA2866F" w14:textId="77777777" w:rsidTr="005E7FD8">
        <w:trPr>
          <w:trHeight w:val="610"/>
        </w:trPr>
        <w:tc>
          <w:tcPr>
            <w:tcW w:w="4815" w:type="dxa"/>
            <w:shd w:val="clear" w:color="auto" w:fill="D9D9D9" w:themeFill="background1" w:themeFillShade="D9"/>
            <w:hideMark/>
          </w:tcPr>
          <w:p w14:paraId="0C24C225" w14:textId="77777777" w:rsidR="00FD122B" w:rsidRPr="00CE1A25" w:rsidRDefault="00FD122B" w:rsidP="005E7FD8">
            <w:pPr>
              <w:rPr>
                <w:color w:val="auto"/>
                <w:sz w:val="18"/>
                <w:szCs w:val="18"/>
              </w:rPr>
            </w:pPr>
            <w:r w:rsidRPr="00CE1A25">
              <w:rPr>
                <w:color w:val="auto"/>
                <w:sz w:val="18"/>
                <w:szCs w:val="18"/>
              </w:rPr>
              <w:t>Cost of Care exercise results - £ per resident per week</w:t>
            </w:r>
          </w:p>
        </w:tc>
        <w:tc>
          <w:tcPr>
            <w:tcW w:w="2283" w:type="dxa"/>
            <w:vAlign w:val="bottom"/>
            <w:hideMark/>
          </w:tcPr>
          <w:p w14:paraId="7938B16C"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without nursing</w:t>
            </w:r>
          </w:p>
        </w:tc>
        <w:tc>
          <w:tcPr>
            <w:tcW w:w="2283" w:type="dxa"/>
            <w:vAlign w:val="bottom"/>
            <w:hideMark/>
          </w:tcPr>
          <w:p w14:paraId="0EFB6DFB"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without nursing, enhanced needs</w:t>
            </w:r>
          </w:p>
        </w:tc>
        <w:tc>
          <w:tcPr>
            <w:tcW w:w="2283" w:type="dxa"/>
            <w:vAlign w:val="bottom"/>
            <w:hideMark/>
          </w:tcPr>
          <w:p w14:paraId="5EB6DF78"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 nursing</w:t>
            </w:r>
          </w:p>
        </w:tc>
        <w:tc>
          <w:tcPr>
            <w:tcW w:w="2284" w:type="dxa"/>
            <w:vAlign w:val="bottom"/>
            <w:hideMark/>
          </w:tcPr>
          <w:p w14:paraId="28A7DBA8" w14:textId="77777777" w:rsidR="00FD122B" w:rsidRPr="00CE1A25" w:rsidRDefault="00FD122B" w:rsidP="005E7FD8">
            <w:pPr>
              <w:jc w:val="center"/>
              <w:rPr>
                <w:color w:val="auto"/>
                <w:sz w:val="18"/>
                <w:szCs w:val="18"/>
              </w:rPr>
            </w:pPr>
            <w:r w:rsidRPr="00CE1A25">
              <w:rPr>
                <w:rFonts w:ascii="Calibri" w:hAnsi="Calibri" w:cs="Calibri"/>
                <w:color w:val="auto"/>
              </w:rPr>
              <w:t>65+ care home places with nursing, enhanced needs</w:t>
            </w:r>
          </w:p>
        </w:tc>
      </w:tr>
      <w:tr w:rsidR="00FD122B" w:rsidRPr="00CE1A25" w14:paraId="23D4D730" w14:textId="77777777" w:rsidTr="00A5597C">
        <w:trPr>
          <w:trHeight w:val="263"/>
        </w:trPr>
        <w:tc>
          <w:tcPr>
            <w:tcW w:w="4815" w:type="dxa"/>
            <w:shd w:val="clear" w:color="auto" w:fill="D9D9D9" w:themeFill="background1" w:themeFillShade="D9"/>
          </w:tcPr>
          <w:p w14:paraId="580C3853" w14:textId="77777777" w:rsidR="00FD122B" w:rsidRPr="00CE1A25" w:rsidRDefault="00FD122B" w:rsidP="005E7FD8">
            <w:pPr>
              <w:rPr>
                <w:color w:val="auto"/>
                <w:sz w:val="18"/>
                <w:szCs w:val="18"/>
              </w:rPr>
            </w:pPr>
          </w:p>
        </w:tc>
        <w:tc>
          <w:tcPr>
            <w:tcW w:w="9133" w:type="dxa"/>
            <w:gridSpan w:val="4"/>
            <w:tcBorders>
              <w:bottom w:val="single" w:sz="4" w:space="0" w:color="auto"/>
            </w:tcBorders>
            <w:vAlign w:val="center"/>
          </w:tcPr>
          <w:p w14:paraId="67D9A67C" w14:textId="297CEF69" w:rsidR="00FD122B" w:rsidRPr="00CE1A25" w:rsidRDefault="00FD122B" w:rsidP="005E7FD8">
            <w:pPr>
              <w:jc w:val="center"/>
              <w:rPr>
                <w:color w:val="auto"/>
                <w:sz w:val="18"/>
                <w:szCs w:val="18"/>
              </w:rPr>
            </w:pPr>
            <w:r w:rsidRPr="00CE1A25">
              <w:rPr>
                <w:color w:val="auto"/>
                <w:sz w:val="18"/>
                <w:szCs w:val="18"/>
              </w:rPr>
              <w:t xml:space="preserve">(The numbers in brackets represent the number of fully or partially validated toolkits from which the given cost line </w:t>
            </w:r>
            <w:r w:rsidR="006F1223">
              <w:rPr>
                <w:color w:val="auto"/>
                <w:sz w:val="18"/>
                <w:szCs w:val="18"/>
              </w:rPr>
              <w:t>quartile</w:t>
            </w:r>
            <w:r w:rsidRPr="00CE1A25">
              <w:rPr>
                <w:color w:val="auto"/>
                <w:sz w:val="18"/>
                <w:szCs w:val="18"/>
              </w:rPr>
              <w:t xml:space="preserve"> was derived)</w:t>
            </w:r>
          </w:p>
        </w:tc>
      </w:tr>
      <w:tr w:rsidR="00A5597C" w:rsidRPr="00CE1A25" w14:paraId="4C7460A1" w14:textId="77777777" w:rsidTr="00A5597C">
        <w:trPr>
          <w:trHeight w:val="411"/>
        </w:trPr>
        <w:tc>
          <w:tcPr>
            <w:tcW w:w="4815" w:type="dxa"/>
            <w:shd w:val="clear" w:color="auto" w:fill="D9D9D9" w:themeFill="background1" w:themeFillShade="D9"/>
            <w:noWrap/>
            <w:hideMark/>
          </w:tcPr>
          <w:p w14:paraId="375014BF" w14:textId="77777777" w:rsidR="00A5597C" w:rsidRPr="00CE1A25" w:rsidRDefault="00A5597C" w:rsidP="00A5597C">
            <w:pPr>
              <w:rPr>
                <w:b/>
                <w:bCs/>
                <w:color w:val="auto"/>
                <w:sz w:val="18"/>
                <w:szCs w:val="18"/>
              </w:rPr>
            </w:pPr>
            <w:r w:rsidRPr="00CE1A25">
              <w:rPr>
                <w:b/>
                <w:bCs/>
                <w:color w:val="auto"/>
                <w:sz w:val="18"/>
                <w:szCs w:val="18"/>
              </w:rPr>
              <w:t>Staffing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8A1BB" w14:textId="0929B676" w:rsidR="00A5597C" w:rsidRPr="00CE1A25" w:rsidRDefault="00A5597C" w:rsidP="00A5597C">
            <w:pPr>
              <w:jc w:val="right"/>
              <w:rPr>
                <w:b/>
                <w:bCs/>
                <w:color w:val="auto"/>
                <w:sz w:val="18"/>
                <w:szCs w:val="18"/>
              </w:rPr>
            </w:pPr>
            <w:r>
              <w:rPr>
                <w:b/>
                <w:bCs/>
                <w:color w:val="000000"/>
              </w:rPr>
              <w:t xml:space="preserve">          590.04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5A13B35" w14:textId="3F491C14" w:rsidR="00A5597C" w:rsidRPr="00CE1A25" w:rsidRDefault="00A5597C" w:rsidP="00A5597C">
            <w:pPr>
              <w:jc w:val="right"/>
              <w:rPr>
                <w:b/>
                <w:bCs/>
                <w:color w:val="auto"/>
                <w:sz w:val="18"/>
                <w:szCs w:val="18"/>
              </w:rPr>
            </w:pPr>
            <w:r>
              <w:rPr>
                <w:b/>
                <w:bCs/>
                <w:color w:val="000000"/>
              </w:rPr>
              <w:t xml:space="preserve">          613.00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569238A" w14:textId="5A3AF609" w:rsidR="00A5597C" w:rsidRPr="00CE1A25" w:rsidRDefault="00A5597C" w:rsidP="00A5597C">
            <w:pPr>
              <w:jc w:val="right"/>
              <w:rPr>
                <w:b/>
                <w:bCs/>
                <w:color w:val="auto"/>
                <w:sz w:val="18"/>
                <w:szCs w:val="18"/>
              </w:rPr>
            </w:pPr>
            <w:r>
              <w:rPr>
                <w:b/>
                <w:bCs/>
                <w:color w:val="000000"/>
              </w:rPr>
              <w:t xml:space="preserve">          812.54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D854352" w14:textId="78A88351" w:rsidR="00A5597C" w:rsidRPr="00CE1A25" w:rsidRDefault="00A5597C" w:rsidP="00A5597C">
            <w:pPr>
              <w:jc w:val="right"/>
              <w:rPr>
                <w:b/>
                <w:bCs/>
                <w:color w:val="auto"/>
                <w:sz w:val="18"/>
                <w:szCs w:val="18"/>
              </w:rPr>
            </w:pPr>
            <w:r>
              <w:rPr>
                <w:b/>
                <w:bCs/>
                <w:color w:val="000000"/>
              </w:rPr>
              <w:t xml:space="preserve">          840.15 </w:t>
            </w:r>
          </w:p>
        </w:tc>
      </w:tr>
      <w:tr w:rsidR="00A5597C" w:rsidRPr="00CE1A25" w14:paraId="735A5C5E" w14:textId="77777777" w:rsidTr="00A5597C">
        <w:trPr>
          <w:trHeight w:val="300"/>
        </w:trPr>
        <w:tc>
          <w:tcPr>
            <w:tcW w:w="4815" w:type="dxa"/>
            <w:shd w:val="clear" w:color="auto" w:fill="D9D9D9" w:themeFill="background1" w:themeFillShade="D9"/>
            <w:noWrap/>
            <w:hideMark/>
          </w:tcPr>
          <w:p w14:paraId="27ABD10A" w14:textId="77777777" w:rsidR="00A5597C" w:rsidRPr="00CE1A25" w:rsidRDefault="00A5597C" w:rsidP="00A5597C">
            <w:pPr>
              <w:rPr>
                <w:color w:val="auto"/>
                <w:sz w:val="18"/>
                <w:szCs w:val="18"/>
              </w:rPr>
            </w:pPr>
            <w:r w:rsidRPr="00CE1A25">
              <w:rPr>
                <w:color w:val="auto"/>
                <w:sz w:val="18"/>
                <w:szCs w:val="18"/>
              </w:rPr>
              <w:t>Nursing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F2A3A" w14:textId="11813899"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A83B262" w14:textId="309924C2"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95F4619" w14:textId="41FFA535" w:rsidR="00A5597C" w:rsidRPr="00CE1A25" w:rsidRDefault="00A5597C" w:rsidP="00A5597C">
            <w:pPr>
              <w:jc w:val="right"/>
              <w:rPr>
                <w:color w:val="auto"/>
                <w:sz w:val="18"/>
                <w:szCs w:val="18"/>
              </w:rPr>
            </w:pPr>
            <w:r>
              <w:rPr>
                <w:color w:val="000000"/>
              </w:rPr>
              <w:t xml:space="preserve"> 325.73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7110785" w14:textId="3104B97F" w:rsidR="00A5597C" w:rsidRPr="00CE1A25" w:rsidRDefault="00A5597C" w:rsidP="00A5597C">
            <w:pPr>
              <w:jc w:val="right"/>
              <w:rPr>
                <w:color w:val="auto"/>
                <w:sz w:val="18"/>
                <w:szCs w:val="18"/>
              </w:rPr>
            </w:pPr>
            <w:r>
              <w:rPr>
                <w:color w:val="000000"/>
              </w:rPr>
              <w:t xml:space="preserve"> 308    (13) </w:t>
            </w:r>
          </w:p>
        </w:tc>
      </w:tr>
      <w:tr w:rsidR="00A5597C" w:rsidRPr="00CE1A25" w14:paraId="13E321CD" w14:textId="77777777" w:rsidTr="00A5597C">
        <w:trPr>
          <w:trHeight w:val="300"/>
        </w:trPr>
        <w:tc>
          <w:tcPr>
            <w:tcW w:w="4815" w:type="dxa"/>
            <w:shd w:val="clear" w:color="auto" w:fill="D9D9D9" w:themeFill="background1" w:themeFillShade="D9"/>
            <w:noWrap/>
            <w:hideMark/>
          </w:tcPr>
          <w:p w14:paraId="6C96874B" w14:textId="77777777" w:rsidR="00A5597C" w:rsidRPr="00CE1A25" w:rsidRDefault="00A5597C" w:rsidP="00A5597C">
            <w:pPr>
              <w:rPr>
                <w:color w:val="auto"/>
                <w:sz w:val="18"/>
                <w:szCs w:val="18"/>
              </w:rPr>
            </w:pPr>
            <w:r w:rsidRPr="00CE1A25">
              <w:rPr>
                <w:color w:val="auto"/>
                <w:sz w:val="18"/>
                <w:szCs w:val="18"/>
              </w:rPr>
              <w:t>Care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13FE8" w14:textId="2EF92334" w:rsidR="00A5597C" w:rsidRPr="00CE1A25" w:rsidRDefault="00A5597C" w:rsidP="00A5597C">
            <w:pPr>
              <w:jc w:val="right"/>
              <w:rPr>
                <w:color w:val="auto"/>
                <w:sz w:val="18"/>
                <w:szCs w:val="18"/>
              </w:rPr>
            </w:pPr>
            <w:r>
              <w:rPr>
                <w:color w:val="000000"/>
              </w:rPr>
              <w:t xml:space="preserve"> 407.36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78D8445" w14:textId="6E827177" w:rsidR="00A5597C" w:rsidRPr="00CE1A25" w:rsidRDefault="00A5597C" w:rsidP="00A5597C">
            <w:pPr>
              <w:jc w:val="right"/>
              <w:rPr>
                <w:color w:val="auto"/>
                <w:sz w:val="18"/>
                <w:szCs w:val="18"/>
              </w:rPr>
            </w:pPr>
            <w:r>
              <w:rPr>
                <w:color w:val="000000"/>
              </w:rPr>
              <w:t xml:space="preserve"> 430.32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B180E80" w14:textId="69D7CD4B" w:rsidR="00A5597C" w:rsidRPr="00CE1A25" w:rsidRDefault="00A5597C" w:rsidP="00A5597C">
            <w:pPr>
              <w:jc w:val="right"/>
              <w:rPr>
                <w:color w:val="auto"/>
                <w:sz w:val="18"/>
                <w:szCs w:val="18"/>
              </w:rPr>
            </w:pPr>
            <w:r>
              <w:rPr>
                <w:color w:val="000000"/>
              </w:rPr>
              <w:t xml:space="preserve"> 304.13       (11)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4F1309F" w14:textId="6908AAE0" w:rsidR="00A5597C" w:rsidRPr="00CE1A25" w:rsidRDefault="00A5597C" w:rsidP="00A5597C">
            <w:pPr>
              <w:jc w:val="right"/>
              <w:rPr>
                <w:color w:val="auto"/>
                <w:sz w:val="18"/>
                <w:szCs w:val="18"/>
              </w:rPr>
            </w:pPr>
            <w:r>
              <w:rPr>
                <w:color w:val="000000"/>
              </w:rPr>
              <w:t xml:space="preserve"> 349.47       (11) </w:t>
            </w:r>
          </w:p>
        </w:tc>
      </w:tr>
      <w:tr w:rsidR="00A5597C" w:rsidRPr="00CE1A25" w14:paraId="2A9CF4CE" w14:textId="77777777" w:rsidTr="00A5597C">
        <w:trPr>
          <w:trHeight w:val="300"/>
        </w:trPr>
        <w:tc>
          <w:tcPr>
            <w:tcW w:w="4815" w:type="dxa"/>
            <w:shd w:val="clear" w:color="auto" w:fill="D9D9D9" w:themeFill="background1" w:themeFillShade="D9"/>
            <w:noWrap/>
            <w:hideMark/>
          </w:tcPr>
          <w:p w14:paraId="0B946761" w14:textId="77777777" w:rsidR="00A5597C" w:rsidRPr="00CE1A25" w:rsidRDefault="00A5597C" w:rsidP="00A5597C">
            <w:pPr>
              <w:rPr>
                <w:color w:val="auto"/>
                <w:sz w:val="18"/>
                <w:szCs w:val="18"/>
              </w:rPr>
            </w:pPr>
            <w:r w:rsidRPr="00CE1A25">
              <w:rPr>
                <w:color w:val="auto"/>
                <w:sz w:val="18"/>
                <w:szCs w:val="18"/>
              </w:rPr>
              <w:t>Therapy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EA6AA" w14:textId="12AA8294"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F5CAAF6" w14:textId="2BA8CF35" w:rsidR="00A5597C" w:rsidRPr="00CE1A25" w:rsidRDefault="00A5597C" w:rsidP="00A5597C">
            <w:pPr>
              <w:jc w:val="right"/>
              <w:rPr>
                <w:color w:val="auto"/>
                <w:sz w:val="18"/>
                <w:szCs w:val="18"/>
              </w:rPr>
            </w:pPr>
            <w:r>
              <w:rPr>
                <w:color w:val="000000"/>
              </w:rPr>
              <w:t xml:space="preserve"> -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1178C17" w14:textId="5D327D86" w:rsidR="00A5597C" w:rsidRPr="00CE1A25" w:rsidRDefault="00A5597C" w:rsidP="00A5597C">
            <w:pPr>
              <w:jc w:val="right"/>
              <w:rPr>
                <w:color w:val="auto"/>
                <w:sz w:val="18"/>
                <w:szCs w:val="18"/>
              </w:rPr>
            </w:pPr>
            <w:r>
              <w:rPr>
                <w:color w:val="000000"/>
              </w:rPr>
              <w:t xml:space="preserve"> -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F66176A" w14:textId="12189B4E" w:rsidR="00A5597C" w:rsidRPr="00CE1A25" w:rsidRDefault="00A5597C" w:rsidP="00A5597C">
            <w:pPr>
              <w:jc w:val="right"/>
              <w:rPr>
                <w:color w:val="auto"/>
                <w:sz w:val="18"/>
                <w:szCs w:val="18"/>
              </w:rPr>
            </w:pPr>
            <w:r>
              <w:rPr>
                <w:color w:val="000000"/>
              </w:rPr>
              <w:t xml:space="preserve"> - </w:t>
            </w:r>
          </w:p>
        </w:tc>
      </w:tr>
      <w:tr w:rsidR="00A5597C" w:rsidRPr="00CE1A25" w14:paraId="610198BB" w14:textId="77777777" w:rsidTr="00A5597C">
        <w:trPr>
          <w:trHeight w:val="300"/>
        </w:trPr>
        <w:tc>
          <w:tcPr>
            <w:tcW w:w="4815" w:type="dxa"/>
            <w:shd w:val="clear" w:color="auto" w:fill="D9D9D9" w:themeFill="background1" w:themeFillShade="D9"/>
            <w:noWrap/>
            <w:hideMark/>
          </w:tcPr>
          <w:p w14:paraId="62685E9F" w14:textId="77777777" w:rsidR="00A5597C" w:rsidRPr="00CE1A25" w:rsidRDefault="00A5597C" w:rsidP="00A5597C">
            <w:pPr>
              <w:rPr>
                <w:color w:val="auto"/>
                <w:sz w:val="18"/>
                <w:szCs w:val="18"/>
              </w:rPr>
            </w:pPr>
            <w:r w:rsidRPr="00CE1A25">
              <w:rPr>
                <w:color w:val="auto"/>
                <w:sz w:val="18"/>
                <w:szCs w:val="18"/>
              </w:rPr>
              <w:t>Activity Coordinators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2E728" w14:textId="1A577AC0" w:rsidR="00A5597C" w:rsidRPr="00CE1A25" w:rsidRDefault="00A5597C" w:rsidP="00A5597C">
            <w:pPr>
              <w:jc w:val="right"/>
              <w:rPr>
                <w:color w:val="auto"/>
                <w:sz w:val="18"/>
                <w:szCs w:val="18"/>
              </w:rPr>
            </w:pPr>
            <w:r>
              <w:rPr>
                <w:color w:val="000000"/>
              </w:rPr>
              <w:t xml:space="preserve"> 12.74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F6ACADD" w14:textId="6B10FF69" w:rsidR="00A5597C" w:rsidRPr="00CE1A25" w:rsidRDefault="00A5597C" w:rsidP="00A5597C">
            <w:pPr>
              <w:jc w:val="right"/>
              <w:rPr>
                <w:color w:val="auto"/>
                <w:sz w:val="18"/>
                <w:szCs w:val="18"/>
              </w:rPr>
            </w:pPr>
            <w:r>
              <w:rPr>
                <w:color w:val="000000"/>
              </w:rPr>
              <w:t xml:space="preserve"> 12.74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EF55841" w14:textId="165E2776" w:rsidR="00A5597C" w:rsidRPr="00CE1A25" w:rsidRDefault="00A5597C" w:rsidP="00A5597C">
            <w:pPr>
              <w:jc w:val="right"/>
              <w:rPr>
                <w:color w:val="auto"/>
                <w:sz w:val="18"/>
                <w:szCs w:val="18"/>
              </w:rPr>
            </w:pPr>
            <w:r>
              <w:rPr>
                <w:color w:val="000000"/>
              </w:rPr>
              <w:t xml:space="preserve"> 12.74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5477288" w14:textId="2455CFE9" w:rsidR="00A5597C" w:rsidRPr="00CE1A25" w:rsidRDefault="00A5597C" w:rsidP="00A5597C">
            <w:pPr>
              <w:jc w:val="right"/>
              <w:rPr>
                <w:color w:val="auto"/>
                <w:sz w:val="18"/>
                <w:szCs w:val="18"/>
              </w:rPr>
            </w:pPr>
            <w:r>
              <w:rPr>
                <w:color w:val="000000"/>
              </w:rPr>
              <w:t xml:space="preserve"> 12.74        (26) </w:t>
            </w:r>
          </w:p>
        </w:tc>
      </w:tr>
      <w:tr w:rsidR="00A5597C" w:rsidRPr="00CE1A25" w14:paraId="3E71019B" w14:textId="77777777" w:rsidTr="00A5597C">
        <w:trPr>
          <w:trHeight w:val="300"/>
        </w:trPr>
        <w:tc>
          <w:tcPr>
            <w:tcW w:w="4815" w:type="dxa"/>
            <w:shd w:val="clear" w:color="auto" w:fill="D9D9D9" w:themeFill="background1" w:themeFillShade="D9"/>
            <w:noWrap/>
            <w:hideMark/>
          </w:tcPr>
          <w:p w14:paraId="154D2929" w14:textId="77777777" w:rsidR="00A5597C" w:rsidRPr="00CE1A25" w:rsidRDefault="00A5597C" w:rsidP="00A5597C">
            <w:pPr>
              <w:rPr>
                <w:color w:val="auto"/>
                <w:sz w:val="18"/>
                <w:szCs w:val="18"/>
              </w:rPr>
            </w:pPr>
            <w:r w:rsidRPr="00CE1A25">
              <w:rPr>
                <w:color w:val="auto"/>
                <w:sz w:val="18"/>
                <w:szCs w:val="18"/>
              </w:rPr>
              <w:t>Service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0BA99" w14:textId="5F6EBF26" w:rsidR="00A5597C" w:rsidRPr="00CE1A25" w:rsidRDefault="00A5597C" w:rsidP="00A5597C">
            <w:pPr>
              <w:jc w:val="right"/>
              <w:rPr>
                <w:color w:val="auto"/>
                <w:sz w:val="18"/>
                <w:szCs w:val="18"/>
              </w:rPr>
            </w:pPr>
            <w:r>
              <w:rPr>
                <w:color w:val="000000"/>
              </w:rPr>
              <w:t xml:space="preserve"> 43.6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4735BF9" w14:textId="638F20B5" w:rsidR="00A5597C" w:rsidRPr="00CE1A25" w:rsidRDefault="00A5597C" w:rsidP="00A5597C">
            <w:pPr>
              <w:jc w:val="right"/>
              <w:rPr>
                <w:color w:val="auto"/>
                <w:sz w:val="18"/>
                <w:szCs w:val="18"/>
              </w:rPr>
            </w:pPr>
            <w:r>
              <w:rPr>
                <w:color w:val="000000"/>
              </w:rPr>
              <w:t xml:space="preserve"> 43.6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89C1182" w14:textId="1EFAFE3F" w:rsidR="00A5597C" w:rsidRPr="00CE1A25" w:rsidRDefault="00A5597C" w:rsidP="00A5597C">
            <w:pPr>
              <w:jc w:val="right"/>
              <w:rPr>
                <w:color w:val="auto"/>
                <w:sz w:val="18"/>
                <w:szCs w:val="18"/>
              </w:rPr>
            </w:pPr>
            <w:r>
              <w:rPr>
                <w:color w:val="000000"/>
              </w:rPr>
              <w:t xml:space="preserve"> 43.6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6588EF3" w14:textId="5E06E41A" w:rsidR="00A5597C" w:rsidRPr="00CE1A25" w:rsidRDefault="00A5597C" w:rsidP="00A5597C">
            <w:pPr>
              <w:jc w:val="right"/>
              <w:rPr>
                <w:color w:val="auto"/>
                <w:sz w:val="18"/>
                <w:szCs w:val="18"/>
              </w:rPr>
            </w:pPr>
            <w:r>
              <w:rPr>
                <w:color w:val="000000"/>
              </w:rPr>
              <w:t xml:space="preserve"> 43.6        (34) </w:t>
            </w:r>
          </w:p>
        </w:tc>
      </w:tr>
      <w:tr w:rsidR="00A5597C" w:rsidRPr="00CE1A25" w14:paraId="239D44B0" w14:textId="77777777" w:rsidTr="00A5597C">
        <w:trPr>
          <w:trHeight w:val="300"/>
        </w:trPr>
        <w:tc>
          <w:tcPr>
            <w:tcW w:w="4815" w:type="dxa"/>
            <w:shd w:val="clear" w:color="auto" w:fill="D9D9D9" w:themeFill="background1" w:themeFillShade="D9"/>
            <w:noWrap/>
            <w:hideMark/>
          </w:tcPr>
          <w:p w14:paraId="10575E92" w14:textId="77777777" w:rsidR="00A5597C" w:rsidRPr="00CE1A25" w:rsidRDefault="00A5597C" w:rsidP="00A5597C">
            <w:pPr>
              <w:rPr>
                <w:color w:val="auto"/>
                <w:sz w:val="18"/>
                <w:szCs w:val="18"/>
              </w:rPr>
            </w:pPr>
            <w:r w:rsidRPr="00CE1A25">
              <w:rPr>
                <w:color w:val="auto"/>
                <w:sz w:val="18"/>
                <w:szCs w:val="18"/>
              </w:rPr>
              <w:t>Reception &amp; Admin</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3B08E" w14:textId="75496666" w:rsidR="00A5597C" w:rsidRPr="00CE1A25" w:rsidRDefault="00A5597C" w:rsidP="00A5597C">
            <w:pPr>
              <w:jc w:val="right"/>
              <w:rPr>
                <w:color w:val="auto"/>
                <w:sz w:val="18"/>
                <w:szCs w:val="18"/>
              </w:rPr>
            </w:pPr>
            <w:r>
              <w:rPr>
                <w:color w:val="000000"/>
              </w:rPr>
              <w:t xml:space="preserve"> 11.19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E28DCD4" w14:textId="08A96AB9" w:rsidR="00A5597C" w:rsidRPr="00CE1A25" w:rsidRDefault="00A5597C" w:rsidP="00A5597C">
            <w:pPr>
              <w:jc w:val="right"/>
              <w:rPr>
                <w:color w:val="auto"/>
                <w:sz w:val="18"/>
                <w:szCs w:val="18"/>
              </w:rPr>
            </w:pPr>
            <w:r>
              <w:rPr>
                <w:color w:val="000000"/>
              </w:rPr>
              <w:t xml:space="preserve"> 11.19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0AC6F0F" w14:textId="70E20D33" w:rsidR="00A5597C" w:rsidRPr="00CE1A25" w:rsidRDefault="00A5597C" w:rsidP="00A5597C">
            <w:pPr>
              <w:jc w:val="right"/>
              <w:rPr>
                <w:color w:val="auto"/>
                <w:sz w:val="18"/>
                <w:szCs w:val="18"/>
              </w:rPr>
            </w:pPr>
            <w:r>
              <w:rPr>
                <w:color w:val="000000"/>
              </w:rPr>
              <w:t xml:space="preserve"> 11.19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22D6C38" w14:textId="36472C73" w:rsidR="00A5597C" w:rsidRPr="00CE1A25" w:rsidRDefault="00A5597C" w:rsidP="00A5597C">
            <w:pPr>
              <w:jc w:val="right"/>
              <w:rPr>
                <w:color w:val="auto"/>
                <w:sz w:val="18"/>
                <w:szCs w:val="18"/>
              </w:rPr>
            </w:pPr>
            <w:r>
              <w:rPr>
                <w:color w:val="000000"/>
              </w:rPr>
              <w:t xml:space="preserve"> 11.19        (26) </w:t>
            </w:r>
          </w:p>
        </w:tc>
      </w:tr>
      <w:tr w:rsidR="00A5597C" w:rsidRPr="00CE1A25" w14:paraId="32E77ED6" w14:textId="77777777" w:rsidTr="00A5597C">
        <w:trPr>
          <w:trHeight w:val="300"/>
        </w:trPr>
        <w:tc>
          <w:tcPr>
            <w:tcW w:w="4815" w:type="dxa"/>
            <w:shd w:val="clear" w:color="auto" w:fill="D9D9D9" w:themeFill="background1" w:themeFillShade="D9"/>
            <w:noWrap/>
            <w:hideMark/>
          </w:tcPr>
          <w:p w14:paraId="6360CB16" w14:textId="77777777" w:rsidR="00A5597C" w:rsidRPr="00CE1A25" w:rsidRDefault="00A5597C" w:rsidP="00A5597C">
            <w:pPr>
              <w:rPr>
                <w:color w:val="auto"/>
                <w:sz w:val="18"/>
                <w:szCs w:val="18"/>
              </w:rPr>
            </w:pPr>
            <w:r w:rsidRPr="00CE1A25">
              <w:rPr>
                <w:color w:val="auto"/>
                <w:sz w:val="18"/>
                <w:szCs w:val="18"/>
              </w:rPr>
              <w:t>Chefs / Cooks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BEFD9" w14:textId="6620F383" w:rsidR="00A5597C" w:rsidRPr="00CE1A25" w:rsidRDefault="00A5597C" w:rsidP="00A5597C">
            <w:pPr>
              <w:jc w:val="right"/>
              <w:rPr>
                <w:color w:val="auto"/>
                <w:sz w:val="18"/>
                <w:szCs w:val="18"/>
              </w:rPr>
            </w:pPr>
            <w:r>
              <w:rPr>
                <w:color w:val="000000"/>
              </w:rPr>
              <w:t xml:space="preserve"> 34.54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90D1E0A" w14:textId="1CC475D8" w:rsidR="00A5597C" w:rsidRPr="00CE1A25" w:rsidRDefault="00A5597C" w:rsidP="00A5597C">
            <w:pPr>
              <w:jc w:val="right"/>
              <w:rPr>
                <w:color w:val="auto"/>
                <w:sz w:val="18"/>
                <w:szCs w:val="18"/>
              </w:rPr>
            </w:pPr>
            <w:r>
              <w:rPr>
                <w:color w:val="000000"/>
              </w:rPr>
              <w:t xml:space="preserve"> 34.54        (27)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746470B" w14:textId="1A5795D1" w:rsidR="00A5597C" w:rsidRPr="00CE1A25" w:rsidRDefault="00A5597C" w:rsidP="00A5597C">
            <w:pPr>
              <w:jc w:val="right"/>
              <w:rPr>
                <w:color w:val="auto"/>
                <w:sz w:val="18"/>
                <w:szCs w:val="18"/>
              </w:rPr>
            </w:pPr>
            <w:r>
              <w:rPr>
                <w:color w:val="000000"/>
              </w:rPr>
              <w:t xml:space="preserve"> 34.54        (27)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E202990" w14:textId="07495BD3" w:rsidR="00A5597C" w:rsidRPr="00CE1A25" w:rsidRDefault="00A5597C" w:rsidP="00A5597C">
            <w:pPr>
              <w:jc w:val="right"/>
              <w:rPr>
                <w:color w:val="auto"/>
                <w:sz w:val="18"/>
                <w:szCs w:val="18"/>
              </w:rPr>
            </w:pPr>
            <w:r>
              <w:rPr>
                <w:color w:val="000000"/>
              </w:rPr>
              <w:t xml:space="preserve"> 34.54        (27) </w:t>
            </w:r>
          </w:p>
        </w:tc>
      </w:tr>
      <w:tr w:rsidR="00A5597C" w:rsidRPr="00CE1A25" w14:paraId="42E39753" w14:textId="77777777" w:rsidTr="00A5597C">
        <w:trPr>
          <w:trHeight w:val="350"/>
        </w:trPr>
        <w:tc>
          <w:tcPr>
            <w:tcW w:w="4815" w:type="dxa"/>
            <w:shd w:val="clear" w:color="auto" w:fill="D9D9D9" w:themeFill="background1" w:themeFillShade="D9"/>
            <w:noWrap/>
            <w:hideMark/>
          </w:tcPr>
          <w:p w14:paraId="75F9A597" w14:textId="77777777" w:rsidR="00A5597C" w:rsidRPr="00CE1A25" w:rsidRDefault="00A5597C" w:rsidP="00A5597C">
            <w:pPr>
              <w:rPr>
                <w:color w:val="auto"/>
                <w:sz w:val="18"/>
                <w:szCs w:val="18"/>
              </w:rPr>
            </w:pPr>
            <w:r w:rsidRPr="00CE1A25">
              <w:rPr>
                <w:color w:val="auto"/>
                <w:sz w:val="18"/>
                <w:szCs w:val="18"/>
              </w:rPr>
              <w:t>Domestic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2877F" w14:textId="540521D3" w:rsidR="00A5597C" w:rsidRPr="00CE1A25" w:rsidRDefault="00A5597C" w:rsidP="00A5597C">
            <w:pPr>
              <w:jc w:val="right"/>
              <w:rPr>
                <w:color w:val="auto"/>
                <w:sz w:val="18"/>
                <w:szCs w:val="18"/>
              </w:rPr>
            </w:pPr>
            <w:r>
              <w:rPr>
                <w:color w:val="000000"/>
              </w:rPr>
              <w:t xml:space="preserve"> 52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A24CD81" w14:textId="7439176B" w:rsidR="00A5597C" w:rsidRPr="00CE1A25" w:rsidRDefault="00A5597C" w:rsidP="00A5597C">
            <w:pPr>
              <w:jc w:val="right"/>
              <w:rPr>
                <w:color w:val="auto"/>
                <w:sz w:val="18"/>
                <w:szCs w:val="18"/>
              </w:rPr>
            </w:pPr>
            <w:r>
              <w:rPr>
                <w:color w:val="000000"/>
              </w:rPr>
              <w:t xml:space="preserve"> 52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0ECBAD0" w14:textId="50A3C28C" w:rsidR="00A5597C" w:rsidRPr="00CE1A25" w:rsidRDefault="00A5597C" w:rsidP="00A5597C">
            <w:pPr>
              <w:jc w:val="right"/>
              <w:rPr>
                <w:color w:val="auto"/>
                <w:sz w:val="18"/>
                <w:szCs w:val="18"/>
              </w:rPr>
            </w:pPr>
            <w:r>
              <w:rPr>
                <w:color w:val="000000"/>
              </w:rPr>
              <w:t xml:space="preserve"> 52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4C77516" w14:textId="71551395" w:rsidR="00A5597C" w:rsidRPr="00CE1A25" w:rsidRDefault="00A5597C" w:rsidP="00A5597C">
            <w:pPr>
              <w:jc w:val="right"/>
              <w:rPr>
                <w:color w:val="auto"/>
                <w:sz w:val="18"/>
                <w:szCs w:val="18"/>
              </w:rPr>
            </w:pPr>
            <w:r>
              <w:rPr>
                <w:color w:val="000000"/>
              </w:rPr>
              <w:t xml:space="preserve"> 52        (33) </w:t>
            </w:r>
          </w:p>
        </w:tc>
      </w:tr>
      <w:tr w:rsidR="00A5597C" w:rsidRPr="00CE1A25" w14:paraId="7B1E8CE5" w14:textId="77777777" w:rsidTr="00A5597C">
        <w:trPr>
          <w:trHeight w:val="350"/>
        </w:trPr>
        <w:tc>
          <w:tcPr>
            <w:tcW w:w="4815" w:type="dxa"/>
            <w:shd w:val="clear" w:color="auto" w:fill="D9D9D9" w:themeFill="background1" w:themeFillShade="D9"/>
            <w:noWrap/>
            <w:hideMark/>
          </w:tcPr>
          <w:p w14:paraId="30311153" w14:textId="77777777" w:rsidR="00A5597C" w:rsidRPr="00CE1A25" w:rsidRDefault="00A5597C" w:rsidP="00A5597C">
            <w:pPr>
              <w:rPr>
                <w:color w:val="auto"/>
                <w:sz w:val="18"/>
                <w:szCs w:val="18"/>
              </w:rPr>
            </w:pPr>
            <w:r w:rsidRPr="00CE1A25">
              <w:rPr>
                <w:color w:val="auto"/>
                <w:sz w:val="18"/>
                <w:szCs w:val="18"/>
              </w:rPr>
              <w:t>Maintenance &amp; Gardening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7267EE" w14:textId="2DAFD840" w:rsidR="00A5597C" w:rsidRPr="00CE1A25" w:rsidRDefault="00A5597C" w:rsidP="00A5597C">
            <w:pPr>
              <w:jc w:val="right"/>
              <w:rPr>
                <w:color w:val="auto"/>
                <w:sz w:val="18"/>
                <w:szCs w:val="18"/>
              </w:rPr>
            </w:pPr>
            <w:r>
              <w:rPr>
                <w:color w:val="000000"/>
              </w:rPr>
              <w:t xml:space="preserve"> 9.97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109F9F0" w14:textId="1E21A493" w:rsidR="00A5597C" w:rsidRPr="00CE1A25" w:rsidRDefault="00A5597C" w:rsidP="00A5597C">
            <w:pPr>
              <w:jc w:val="right"/>
              <w:rPr>
                <w:color w:val="auto"/>
                <w:sz w:val="18"/>
                <w:szCs w:val="18"/>
              </w:rPr>
            </w:pPr>
            <w:r>
              <w:rPr>
                <w:color w:val="000000"/>
              </w:rPr>
              <w:t xml:space="preserve"> 9.97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6C65C48" w14:textId="7DE505DB" w:rsidR="00A5597C" w:rsidRPr="00CE1A25" w:rsidRDefault="00A5597C" w:rsidP="00A5597C">
            <w:pPr>
              <w:jc w:val="right"/>
              <w:rPr>
                <w:color w:val="auto"/>
                <w:sz w:val="18"/>
                <w:szCs w:val="18"/>
              </w:rPr>
            </w:pPr>
            <w:r>
              <w:rPr>
                <w:color w:val="000000"/>
              </w:rPr>
              <w:t xml:space="preserve"> 9.97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2CF05CF" w14:textId="7167F85F" w:rsidR="00A5597C" w:rsidRPr="00CE1A25" w:rsidRDefault="00A5597C" w:rsidP="00A5597C">
            <w:pPr>
              <w:jc w:val="right"/>
              <w:rPr>
                <w:color w:val="auto"/>
                <w:sz w:val="18"/>
                <w:szCs w:val="18"/>
              </w:rPr>
            </w:pPr>
            <w:r>
              <w:rPr>
                <w:color w:val="000000"/>
              </w:rPr>
              <w:t xml:space="preserve"> 9.97        (33) </w:t>
            </w:r>
          </w:p>
        </w:tc>
      </w:tr>
      <w:tr w:rsidR="00A5597C" w:rsidRPr="00CE1A25" w14:paraId="17A92827" w14:textId="77777777" w:rsidTr="00A5597C">
        <w:trPr>
          <w:trHeight w:val="350"/>
        </w:trPr>
        <w:tc>
          <w:tcPr>
            <w:tcW w:w="4815" w:type="dxa"/>
            <w:shd w:val="clear" w:color="auto" w:fill="D9D9D9" w:themeFill="background1" w:themeFillShade="D9"/>
            <w:noWrap/>
            <w:hideMark/>
          </w:tcPr>
          <w:p w14:paraId="5E101DF5" w14:textId="77777777" w:rsidR="00A5597C" w:rsidRPr="00CE1A25" w:rsidRDefault="00A5597C" w:rsidP="00A5597C">
            <w:pPr>
              <w:rPr>
                <w:color w:val="auto"/>
                <w:sz w:val="18"/>
                <w:szCs w:val="18"/>
              </w:rPr>
            </w:pPr>
            <w:r w:rsidRPr="00CE1A25">
              <w:rPr>
                <w:color w:val="auto"/>
                <w:sz w:val="18"/>
                <w:szCs w:val="18"/>
              </w:rPr>
              <w:t>Other Care Home Staff</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A2815" w14:textId="5486589A" w:rsidR="00A5597C" w:rsidRPr="00CE1A25" w:rsidRDefault="00A5597C" w:rsidP="00A5597C">
            <w:pPr>
              <w:jc w:val="right"/>
              <w:rPr>
                <w:color w:val="auto"/>
                <w:sz w:val="18"/>
                <w:szCs w:val="18"/>
              </w:rPr>
            </w:pPr>
            <w:r>
              <w:rPr>
                <w:color w:val="000000"/>
              </w:rPr>
              <w:t xml:space="preserve"> 18.64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CC06C92" w14:textId="028B2E2B" w:rsidR="00A5597C" w:rsidRPr="00CE1A25" w:rsidRDefault="00A5597C" w:rsidP="00A5597C">
            <w:pPr>
              <w:jc w:val="right"/>
              <w:rPr>
                <w:color w:val="auto"/>
                <w:sz w:val="18"/>
                <w:szCs w:val="18"/>
              </w:rPr>
            </w:pPr>
            <w:r>
              <w:rPr>
                <w:color w:val="000000"/>
              </w:rPr>
              <w:t xml:space="preserve"> 18.64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D11E6B2" w14:textId="596A0F25" w:rsidR="00A5597C" w:rsidRPr="00CE1A25" w:rsidRDefault="00A5597C" w:rsidP="00A5597C">
            <w:pPr>
              <w:jc w:val="right"/>
              <w:rPr>
                <w:color w:val="auto"/>
                <w:sz w:val="18"/>
                <w:szCs w:val="18"/>
              </w:rPr>
            </w:pPr>
            <w:r>
              <w:rPr>
                <w:color w:val="000000"/>
              </w:rPr>
              <w:t xml:space="preserve"> 18.64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2CC0357" w14:textId="603F3B41" w:rsidR="00A5597C" w:rsidRPr="00CE1A25" w:rsidRDefault="00A5597C" w:rsidP="00A5597C">
            <w:pPr>
              <w:jc w:val="right"/>
              <w:rPr>
                <w:color w:val="auto"/>
                <w:sz w:val="18"/>
                <w:szCs w:val="18"/>
              </w:rPr>
            </w:pPr>
            <w:r>
              <w:rPr>
                <w:color w:val="000000"/>
              </w:rPr>
              <w:t xml:space="preserve"> 18.64        (15) </w:t>
            </w:r>
          </w:p>
        </w:tc>
      </w:tr>
      <w:tr w:rsidR="00A5597C" w:rsidRPr="00CE1A25" w14:paraId="4F54B6CD" w14:textId="77777777" w:rsidTr="00A5597C">
        <w:trPr>
          <w:trHeight w:val="300"/>
        </w:trPr>
        <w:tc>
          <w:tcPr>
            <w:tcW w:w="4815" w:type="dxa"/>
            <w:shd w:val="clear" w:color="auto" w:fill="D9D9D9" w:themeFill="background1" w:themeFillShade="D9"/>
            <w:noWrap/>
            <w:hideMark/>
          </w:tcPr>
          <w:p w14:paraId="4F762A45" w14:textId="77777777" w:rsidR="00A5597C" w:rsidRPr="00CE1A25" w:rsidRDefault="00A5597C" w:rsidP="00A5597C">
            <w:pPr>
              <w:rPr>
                <w:b/>
                <w:bCs/>
                <w:color w:val="auto"/>
                <w:sz w:val="18"/>
                <w:szCs w:val="18"/>
              </w:rPr>
            </w:pPr>
            <w:r w:rsidRPr="00CE1A25">
              <w:rPr>
                <w:b/>
                <w:bCs/>
                <w:color w:val="auto"/>
                <w:sz w:val="18"/>
                <w:szCs w:val="18"/>
              </w:rPr>
              <w:t>Care Home Premises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08B90" w14:textId="15443B89" w:rsidR="00A5597C" w:rsidRPr="00CE1A25" w:rsidRDefault="00A5597C" w:rsidP="00A5597C">
            <w:pPr>
              <w:jc w:val="right"/>
              <w:rPr>
                <w:b/>
                <w:bCs/>
                <w:color w:val="auto"/>
                <w:sz w:val="18"/>
                <w:szCs w:val="18"/>
              </w:rPr>
            </w:pPr>
            <w:r>
              <w:rPr>
                <w:b/>
                <w:bCs/>
                <w:color w:val="000000"/>
              </w:rPr>
              <w:t xml:space="preserve">            57.63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E36B567" w14:textId="7D2B779F" w:rsidR="00A5597C" w:rsidRPr="00CE1A25" w:rsidRDefault="00A5597C" w:rsidP="00A5597C">
            <w:pPr>
              <w:jc w:val="right"/>
              <w:rPr>
                <w:b/>
                <w:bCs/>
                <w:color w:val="auto"/>
                <w:sz w:val="18"/>
                <w:szCs w:val="18"/>
              </w:rPr>
            </w:pPr>
            <w:r>
              <w:rPr>
                <w:b/>
                <w:bCs/>
                <w:color w:val="000000"/>
              </w:rPr>
              <w:t xml:space="preserve">            57.63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3DA230F" w14:textId="174FDAED" w:rsidR="00A5597C" w:rsidRPr="00CE1A25" w:rsidRDefault="00A5597C" w:rsidP="00A5597C">
            <w:pPr>
              <w:jc w:val="right"/>
              <w:rPr>
                <w:b/>
                <w:bCs/>
                <w:color w:val="auto"/>
                <w:sz w:val="18"/>
                <w:szCs w:val="18"/>
              </w:rPr>
            </w:pPr>
            <w:r>
              <w:rPr>
                <w:b/>
                <w:bCs/>
                <w:color w:val="000000"/>
              </w:rPr>
              <w:t xml:space="preserve">            57.63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27FE3D9" w14:textId="0DDF0246" w:rsidR="00A5597C" w:rsidRPr="00CE1A25" w:rsidRDefault="00A5597C" w:rsidP="00A5597C">
            <w:pPr>
              <w:jc w:val="right"/>
              <w:rPr>
                <w:b/>
                <w:bCs/>
                <w:color w:val="auto"/>
                <w:sz w:val="18"/>
                <w:szCs w:val="18"/>
              </w:rPr>
            </w:pPr>
            <w:r>
              <w:rPr>
                <w:b/>
                <w:bCs/>
                <w:color w:val="000000"/>
              </w:rPr>
              <w:t xml:space="preserve">            57.63 </w:t>
            </w:r>
          </w:p>
        </w:tc>
      </w:tr>
      <w:tr w:rsidR="00A5597C" w:rsidRPr="00CE1A25" w14:paraId="58FAB69C" w14:textId="77777777" w:rsidTr="00A5597C">
        <w:trPr>
          <w:trHeight w:val="300"/>
        </w:trPr>
        <w:tc>
          <w:tcPr>
            <w:tcW w:w="4815" w:type="dxa"/>
            <w:shd w:val="clear" w:color="auto" w:fill="D9D9D9" w:themeFill="background1" w:themeFillShade="D9"/>
            <w:noWrap/>
            <w:hideMark/>
          </w:tcPr>
          <w:p w14:paraId="7FF5AE6F" w14:textId="77777777" w:rsidR="00A5597C" w:rsidRPr="00CE1A25" w:rsidRDefault="00A5597C" w:rsidP="00A5597C">
            <w:pPr>
              <w:rPr>
                <w:color w:val="auto"/>
                <w:sz w:val="18"/>
                <w:szCs w:val="18"/>
              </w:rPr>
            </w:pPr>
            <w:r w:rsidRPr="00CE1A25">
              <w:rPr>
                <w:color w:val="auto"/>
                <w:sz w:val="18"/>
                <w:szCs w:val="18"/>
              </w:rPr>
              <w:t>Fixtures &amp; Fittings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1E1F9" w14:textId="69B35EEF" w:rsidR="00A5597C" w:rsidRPr="00CE1A25" w:rsidRDefault="00A5597C" w:rsidP="00A5597C">
            <w:pPr>
              <w:jc w:val="right"/>
              <w:rPr>
                <w:color w:val="auto"/>
                <w:sz w:val="18"/>
                <w:szCs w:val="18"/>
              </w:rPr>
            </w:pPr>
            <w:r>
              <w:rPr>
                <w:color w:val="000000"/>
              </w:rPr>
              <w:t xml:space="preserve"> 13.16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7B6B480" w14:textId="45D4272F" w:rsidR="00A5597C" w:rsidRPr="00CE1A25" w:rsidRDefault="00A5597C" w:rsidP="00A5597C">
            <w:pPr>
              <w:jc w:val="right"/>
              <w:rPr>
                <w:color w:val="auto"/>
                <w:sz w:val="18"/>
                <w:szCs w:val="18"/>
              </w:rPr>
            </w:pPr>
            <w:r>
              <w:rPr>
                <w:color w:val="000000"/>
              </w:rPr>
              <w:t xml:space="preserve"> 13.16        (17)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73737F8" w14:textId="7043B0D6" w:rsidR="00A5597C" w:rsidRPr="00CE1A25" w:rsidRDefault="00A5597C" w:rsidP="00A5597C">
            <w:pPr>
              <w:jc w:val="right"/>
              <w:rPr>
                <w:color w:val="auto"/>
                <w:sz w:val="18"/>
                <w:szCs w:val="18"/>
              </w:rPr>
            </w:pPr>
            <w:r>
              <w:rPr>
                <w:color w:val="000000"/>
              </w:rPr>
              <w:t xml:space="preserve"> 13.16        (17)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C6AD1AC" w14:textId="169090AB" w:rsidR="00A5597C" w:rsidRPr="00CE1A25" w:rsidRDefault="00A5597C" w:rsidP="00A5597C">
            <w:pPr>
              <w:jc w:val="right"/>
              <w:rPr>
                <w:color w:val="auto"/>
                <w:sz w:val="18"/>
                <w:szCs w:val="18"/>
              </w:rPr>
            </w:pPr>
            <w:r>
              <w:rPr>
                <w:color w:val="000000"/>
              </w:rPr>
              <w:t xml:space="preserve"> 13.16        (17) </w:t>
            </w:r>
          </w:p>
        </w:tc>
      </w:tr>
      <w:tr w:rsidR="00A5597C" w:rsidRPr="00CE1A25" w14:paraId="79B36057" w14:textId="77777777" w:rsidTr="00A5597C">
        <w:trPr>
          <w:trHeight w:val="300"/>
        </w:trPr>
        <w:tc>
          <w:tcPr>
            <w:tcW w:w="4815" w:type="dxa"/>
            <w:shd w:val="clear" w:color="auto" w:fill="D9D9D9" w:themeFill="background1" w:themeFillShade="D9"/>
            <w:noWrap/>
            <w:hideMark/>
          </w:tcPr>
          <w:p w14:paraId="253C53B8" w14:textId="77777777" w:rsidR="00A5597C" w:rsidRPr="00CE1A25" w:rsidRDefault="00A5597C" w:rsidP="00A5597C">
            <w:pPr>
              <w:rPr>
                <w:color w:val="auto"/>
                <w:sz w:val="18"/>
                <w:szCs w:val="18"/>
              </w:rPr>
            </w:pPr>
            <w:r w:rsidRPr="00CE1A25">
              <w:rPr>
                <w:color w:val="auto"/>
                <w:sz w:val="18"/>
                <w:szCs w:val="18"/>
              </w:rPr>
              <w:t>Repairs and Maintenance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4738B" w14:textId="0ABCF00D" w:rsidR="00A5597C" w:rsidRPr="00CE1A25" w:rsidRDefault="00A5597C" w:rsidP="00A5597C">
            <w:pPr>
              <w:jc w:val="right"/>
              <w:rPr>
                <w:color w:val="auto"/>
                <w:sz w:val="18"/>
                <w:szCs w:val="18"/>
              </w:rPr>
            </w:pPr>
            <w:r>
              <w:rPr>
                <w:color w:val="000000"/>
              </w:rPr>
              <w:t xml:space="preserve"> 27.92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6B149BB" w14:textId="169BFF53" w:rsidR="00A5597C" w:rsidRPr="00CE1A25" w:rsidRDefault="00A5597C" w:rsidP="00A5597C">
            <w:pPr>
              <w:jc w:val="right"/>
              <w:rPr>
                <w:color w:val="auto"/>
                <w:sz w:val="18"/>
                <w:szCs w:val="18"/>
              </w:rPr>
            </w:pPr>
            <w:r>
              <w:rPr>
                <w:color w:val="000000"/>
              </w:rPr>
              <w:t xml:space="preserve"> 27.92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A66412E" w14:textId="5C845128" w:rsidR="00A5597C" w:rsidRPr="00CE1A25" w:rsidRDefault="00A5597C" w:rsidP="00A5597C">
            <w:pPr>
              <w:jc w:val="right"/>
              <w:rPr>
                <w:color w:val="auto"/>
                <w:sz w:val="18"/>
                <w:szCs w:val="18"/>
              </w:rPr>
            </w:pPr>
            <w:r>
              <w:rPr>
                <w:color w:val="000000"/>
              </w:rPr>
              <w:t xml:space="preserve"> 27.92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FDF6F08" w14:textId="02C1FC03" w:rsidR="00A5597C" w:rsidRPr="00CE1A25" w:rsidRDefault="00A5597C" w:rsidP="00A5597C">
            <w:pPr>
              <w:jc w:val="right"/>
              <w:rPr>
                <w:color w:val="auto"/>
                <w:sz w:val="18"/>
                <w:szCs w:val="18"/>
              </w:rPr>
            </w:pPr>
            <w:r>
              <w:rPr>
                <w:color w:val="000000"/>
              </w:rPr>
              <w:t xml:space="preserve"> 27.92        (32) </w:t>
            </w:r>
          </w:p>
        </w:tc>
      </w:tr>
      <w:tr w:rsidR="00A5597C" w:rsidRPr="00CE1A25" w14:paraId="15D7FC1E" w14:textId="77777777" w:rsidTr="00A5597C">
        <w:trPr>
          <w:trHeight w:val="300"/>
        </w:trPr>
        <w:tc>
          <w:tcPr>
            <w:tcW w:w="4815" w:type="dxa"/>
            <w:shd w:val="clear" w:color="auto" w:fill="D9D9D9" w:themeFill="background1" w:themeFillShade="D9"/>
            <w:noWrap/>
            <w:hideMark/>
          </w:tcPr>
          <w:p w14:paraId="7183F305" w14:textId="77777777" w:rsidR="00A5597C" w:rsidRPr="00CE1A25" w:rsidRDefault="00A5597C" w:rsidP="00A5597C">
            <w:pPr>
              <w:rPr>
                <w:color w:val="auto"/>
                <w:sz w:val="18"/>
                <w:szCs w:val="18"/>
              </w:rPr>
            </w:pPr>
            <w:r w:rsidRPr="00CE1A25">
              <w:rPr>
                <w:color w:val="auto"/>
                <w:sz w:val="18"/>
                <w:szCs w:val="18"/>
              </w:rPr>
              <w:t>Furniture, Furnishings and Equipment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F0C1D" w14:textId="4695059C" w:rsidR="00A5597C" w:rsidRPr="00CE1A25" w:rsidRDefault="00A5597C" w:rsidP="00A5597C">
            <w:pPr>
              <w:jc w:val="right"/>
              <w:rPr>
                <w:color w:val="auto"/>
                <w:sz w:val="18"/>
                <w:szCs w:val="18"/>
              </w:rPr>
            </w:pPr>
            <w:r>
              <w:rPr>
                <w:color w:val="000000"/>
              </w:rPr>
              <w:t xml:space="preserve"> 10.4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25093C5" w14:textId="041B80CF" w:rsidR="00A5597C" w:rsidRPr="00CE1A25" w:rsidRDefault="00A5597C" w:rsidP="00A5597C">
            <w:pPr>
              <w:jc w:val="right"/>
              <w:rPr>
                <w:color w:val="auto"/>
                <w:sz w:val="18"/>
                <w:szCs w:val="18"/>
              </w:rPr>
            </w:pPr>
            <w:r>
              <w:rPr>
                <w:color w:val="000000"/>
              </w:rPr>
              <w:t xml:space="preserve"> 10.4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841C14F" w14:textId="7B7C1887" w:rsidR="00A5597C" w:rsidRPr="00CE1A25" w:rsidRDefault="00A5597C" w:rsidP="00A5597C">
            <w:pPr>
              <w:jc w:val="right"/>
              <w:rPr>
                <w:color w:val="auto"/>
                <w:sz w:val="18"/>
                <w:szCs w:val="18"/>
              </w:rPr>
            </w:pPr>
            <w:r>
              <w:rPr>
                <w:color w:val="000000"/>
              </w:rPr>
              <w:t xml:space="preserve"> 10.4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DA1DE40" w14:textId="607319CD" w:rsidR="00A5597C" w:rsidRPr="00CE1A25" w:rsidRDefault="00A5597C" w:rsidP="00A5597C">
            <w:pPr>
              <w:jc w:val="right"/>
              <w:rPr>
                <w:color w:val="auto"/>
                <w:sz w:val="18"/>
                <w:szCs w:val="18"/>
              </w:rPr>
            </w:pPr>
            <w:r>
              <w:rPr>
                <w:color w:val="000000"/>
              </w:rPr>
              <w:t xml:space="preserve"> 10.4        (32) </w:t>
            </w:r>
          </w:p>
        </w:tc>
      </w:tr>
      <w:tr w:rsidR="00A5597C" w:rsidRPr="00CE1A25" w14:paraId="1E74C1E4" w14:textId="77777777" w:rsidTr="00A5597C">
        <w:trPr>
          <w:trHeight w:val="300"/>
        </w:trPr>
        <w:tc>
          <w:tcPr>
            <w:tcW w:w="4815" w:type="dxa"/>
            <w:shd w:val="clear" w:color="auto" w:fill="D9D9D9" w:themeFill="background1" w:themeFillShade="D9"/>
            <w:noWrap/>
            <w:hideMark/>
          </w:tcPr>
          <w:p w14:paraId="19EFCD96" w14:textId="77777777" w:rsidR="00A5597C" w:rsidRPr="00CE1A25" w:rsidRDefault="00A5597C" w:rsidP="00A5597C">
            <w:pPr>
              <w:rPr>
                <w:color w:val="auto"/>
                <w:sz w:val="18"/>
                <w:szCs w:val="18"/>
              </w:rPr>
            </w:pPr>
            <w:r w:rsidRPr="00CE1A25">
              <w:rPr>
                <w:color w:val="auto"/>
                <w:sz w:val="18"/>
                <w:szCs w:val="18"/>
              </w:rPr>
              <w:t>Other Care Home Premise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C04C" w14:textId="4D38908D" w:rsidR="00A5597C" w:rsidRPr="00CE1A25" w:rsidRDefault="00A5597C" w:rsidP="00A5597C">
            <w:pPr>
              <w:jc w:val="right"/>
              <w:rPr>
                <w:color w:val="auto"/>
                <w:sz w:val="18"/>
                <w:szCs w:val="18"/>
              </w:rPr>
            </w:pPr>
            <w:r>
              <w:rPr>
                <w:color w:val="000000"/>
              </w:rPr>
              <w:t xml:space="preserve"> 6.15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E13DE0F" w14:textId="57763E8F" w:rsidR="00A5597C" w:rsidRPr="00CE1A25" w:rsidRDefault="00A5597C" w:rsidP="00A5597C">
            <w:pPr>
              <w:jc w:val="right"/>
              <w:rPr>
                <w:color w:val="auto"/>
                <w:sz w:val="18"/>
                <w:szCs w:val="18"/>
              </w:rPr>
            </w:pPr>
            <w:r>
              <w:rPr>
                <w:color w:val="000000"/>
              </w:rPr>
              <w:t xml:space="preserve"> 6.15        (18)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B3A8CA3" w14:textId="476F286D" w:rsidR="00A5597C" w:rsidRPr="00CE1A25" w:rsidRDefault="00A5597C" w:rsidP="00A5597C">
            <w:pPr>
              <w:jc w:val="right"/>
              <w:rPr>
                <w:color w:val="auto"/>
                <w:sz w:val="18"/>
                <w:szCs w:val="18"/>
              </w:rPr>
            </w:pPr>
            <w:r>
              <w:rPr>
                <w:color w:val="000000"/>
              </w:rPr>
              <w:t xml:space="preserve"> 6.15        (18)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03222FC" w14:textId="46806C61" w:rsidR="00A5597C" w:rsidRPr="00CE1A25" w:rsidRDefault="00A5597C" w:rsidP="00A5597C">
            <w:pPr>
              <w:jc w:val="right"/>
              <w:rPr>
                <w:color w:val="auto"/>
                <w:sz w:val="18"/>
                <w:szCs w:val="18"/>
              </w:rPr>
            </w:pPr>
            <w:r>
              <w:rPr>
                <w:color w:val="000000"/>
              </w:rPr>
              <w:t xml:space="preserve"> 6.15        (18) </w:t>
            </w:r>
          </w:p>
        </w:tc>
      </w:tr>
      <w:tr w:rsidR="00A5597C" w:rsidRPr="00CE1A25" w14:paraId="7077333B" w14:textId="77777777" w:rsidTr="00A5597C">
        <w:trPr>
          <w:trHeight w:val="300"/>
        </w:trPr>
        <w:tc>
          <w:tcPr>
            <w:tcW w:w="4815" w:type="dxa"/>
            <w:shd w:val="clear" w:color="auto" w:fill="D9D9D9" w:themeFill="background1" w:themeFillShade="D9"/>
            <w:noWrap/>
            <w:hideMark/>
          </w:tcPr>
          <w:p w14:paraId="003EFEFB" w14:textId="77777777" w:rsidR="00A5597C" w:rsidRPr="00CE1A25" w:rsidRDefault="00A5597C" w:rsidP="00A5597C">
            <w:pPr>
              <w:rPr>
                <w:b/>
                <w:bCs/>
                <w:color w:val="auto"/>
                <w:sz w:val="18"/>
                <w:szCs w:val="18"/>
              </w:rPr>
            </w:pPr>
            <w:r w:rsidRPr="00CE1A25">
              <w:rPr>
                <w:b/>
                <w:bCs/>
                <w:color w:val="auto"/>
                <w:sz w:val="18"/>
                <w:szCs w:val="18"/>
              </w:rPr>
              <w:lastRenderedPageBreak/>
              <w:t>Care Home Supplies and Services</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BC89910" w14:textId="43E68CB2" w:rsidR="00A5597C" w:rsidRPr="00CE1A25" w:rsidRDefault="00A5597C" w:rsidP="00A5597C">
            <w:pPr>
              <w:jc w:val="right"/>
              <w:rPr>
                <w:b/>
                <w:bCs/>
                <w:color w:val="auto"/>
                <w:sz w:val="18"/>
                <w:szCs w:val="18"/>
              </w:rPr>
            </w:pPr>
            <w:r>
              <w:rPr>
                <w:b/>
                <w:bCs/>
                <w:color w:val="000000"/>
              </w:rPr>
              <w:t xml:space="preserve">          132.14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9A49EEE" w14:textId="4F978258" w:rsidR="00A5597C" w:rsidRPr="00CE1A25" w:rsidRDefault="00A5597C" w:rsidP="00A5597C">
            <w:pPr>
              <w:jc w:val="right"/>
              <w:rPr>
                <w:b/>
                <w:bCs/>
                <w:color w:val="auto"/>
                <w:sz w:val="18"/>
                <w:szCs w:val="18"/>
              </w:rPr>
            </w:pPr>
            <w:r>
              <w:rPr>
                <w:b/>
                <w:bCs/>
                <w:color w:val="000000"/>
              </w:rPr>
              <w:t xml:space="preserve">          132.14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B71E772" w14:textId="2ABA8D48" w:rsidR="00A5597C" w:rsidRPr="00CE1A25" w:rsidRDefault="00A5597C" w:rsidP="00A5597C">
            <w:pPr>
              <w:jc w:val="right"/>
              <w:rPr>
                <w:b/>
                <w:bCs/>
                <w:color w:val="auto"/>
                <w:sz w:val="18"/>
                <w:szCs w:val="18"/>
              </w:rPr>
            </w:pPr>
            <w:r>
              <w:rPr>
                <w:b/>
                <w:bCs/>
                <w:color w:val="000000"/>
              </w:rPr>
              <w:t xml:space="preserve">          132.14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BC8C696" w14:textId="6E1450BE" w:rsidR="00A5597C" w:rsidRPr="00CE1A25" w:rsidRDefault="00A5597C" w:rsidP="00A5597C">
            <w:pPr>
              <w:jc w:val="right"/>
              <w:rPr>
                <w:b/>
                <w:bCs/>
                <w:color w:val="auto"/>
                <w:sz w:val="18"/>
                <w:szCs w:val="18"/>
              </w:rPr>
            </w:pPr>
            <w:r>
              <w:rPr>
                <w:b/>
                <w:bCs/>
                <w:color w:val="000000"/>
              </w:rPr>
              <w:t xml:space="preserve">          132.14 </w:t>
            </w:r>
          </w:p>
        </w:tc>
      </w:tr>
      <w:tr w:rsidR="00A5597C" w:rsidRPr="00CE1A25" w14:paraId="47BFE0B5" w14:textId="77777777" w:rsidTr="00A5597C">
        <w:trPr>
          <w:trHeight w:val="300"/>
        </w:trPr>
        <w:tc>
          <w:tcPr>
            <w:tcW w:w="4815" w:type="dxa"/>
            <w:shd w:val="clear" w:color="auto" w:fill="D9D9D9" w:themeFill="background1" w:themeFillShade="D9"/>
            <w:noWrap/>
            <w:hideMark/>
          </w:tcPr>
          <w:p w14:paraId="27F55293" w14:textId="77777777" w:rsidR="00A5597C" w:rsidRPr="00CE1A25" w:rsidRDefault="00A5597C" w:rsidP="00A5597C">
            <w:pPr>
              <w:rPr>
                <w:color w:val="auto"/>
                <w:sz w:val="18"/>
                <w:szCs w:val="18"/>
              </w:rPr>
            </w:pPr>
            <w:r w:rsidRPr="00CE1A25">
              <w:rPr>
                <w:color w:val="auto"/>
                <w:sz w:val="18"/>
                <w:szCs w:val="18"/>
              </w:rPr>
              <w:t>Food</w:t>
            </w:r>
          </w:p>
        </w:tc>
        <w:tc>
          <w:tcPr>
            <w:tcW w:w="2283" w:type="dxa"/>
            <w:tcBorders>
              <w:top w:val="single" w:sz="4" w:space="0" w:color="auto"/>
              <w:left w:val="nil"/>
              <w:bottom w:val="single" w:sz="4" w:space="0" w:color="auto"/>
              <w:right w:val="nil"/>
            </w:tcBorders>
            <w:shd w:val="clear" w:color="auto" w:fill="auto"/>
            <w:noWrap/>
            <w:vAlign w:val="bottom"/>
          </w:tcPr>
          <w:p w14:paraId="096D99DD" w14:textId="39E398A6" w:rsidR="00A5597C" w:rsidRPr="00CE1A25" w:rsidRDefault="00A5597C" w:rsidP="00A5597C">
            <w:pPr>
              <w:jc w:val="right"/>
              <w:rPr>
                <w:color w:val="auto"/>
                <w:sz w:val="18"/>
                <w:szCs w:val="18"/>
              </w:rPr>
            </w:pPr>
            <w:r>
              <w:rPr>
                <w:color w:val="000000"/>
              </w:rPr>
              <w:t xml:space="preserve"> 36.04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45933" w14:textId="736FF112" w:rsidR="00A5597C" w:rsidRPr="00CE1A25" w:rsidRDefault="00A5597C" w:rsidP="00A5597C">
            <w:pPr>
              <w:jc w:val="right"/>
              <w:rPr>
                <w:color w:val="auto"/>
                <w:sz w:val="18"/>
                <w:szCs w:val="18"/>
              </w:rPr>
            </w:pPr>
            <w:r>
              <w:rPr>
                <w:color w:val="000000"/>
              </w:rPr>
              <w:t xml:space="preserve"> 36.04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DCECFEC" w14:textId="56DB9EA8" w:rsidR="00A5597C" w:rsidRPr="00CE1A25" w:rsidRDefault="00A5597C" w:rsidP="00A5597C">
            <w:pPr>
              <w:jc w:val="right"/>
              <w:rPr>
                <w:color w:val="auto"/>
                <w:sz w:val="18"/>
                <w:szCs w:val="18"/>
              </w:rPr>
            </w:pPr>
            <w:r>
              <w:rPr>
                <w:color w:val="000000"/>
              </w:rPr>
              <w:t xml:space="preserve"> 36.04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20B54C5" w14:textId="53ACE78E" w:rsidR="00A5597C" w:rsidRPr="00CE1A25" w:rsidRDefault="00A5597C" w:rsidP="00A5597C">
            <w:pPr>
              <w:jc w:val="right"/>
              <w:rPr>
                <w:color w:val="auto"/>
                <w:sz w:val="18"/>
                <w:szCs w:val="18"/>
              </w:rPr>
            </w:pPr>
            <w:r>
              <w:rPr>
                <w:color w:val="000000"/>
              </w:rPr>
              <w:t xml:space="preserve"> 36.04        (34) </w:t>
            </w:r>
          </w:p>
        </w:tc>
      </w:tr>
      <w:tr w:rsidR="00A5597C" w:rsidRPr="00CE1A25" w14:paraId="4C7497B6" w14:textId="77777777" w:rsidTr="00A5597C">
        <w:trPr>
          <w:trHeight w:val="300"/>
        </w:trPr>
        <w:tc>
          <w:tcPr>
            <w:tcW w:w="4815" w:type="dxa"/>
            <w:shd w:val="clear" w:color="auto" w:fill="D9D9D9" w:themeFill="background1" w:themeFillShade="D9"/>
            <w:noWrap/>
            <w:hideMark/>
          </w:tcPr>
          <w:p w14:paraId="271C631C" w14:textId="77777777" w:rsidR="00A5597C" w:rsidRPr="00CE1A25" w:rsidRDefault="00A5597C" w:rsidP="00A5597C">
            <w:pPr>
              <w:rPr>
                <w:color w:val="auto"/>
                <w:sz w:val="18"/>
                <w:szCs w:val="18"/>
              </w:rPr>
            </w:pPr>
            <w:r w:rsidRPr="00CE1A25">
              <w:rPr>
                <w:color w:val="auto"/>
                <w:sz w:val="18"/>
                <w:szCs w:val="18"/>
              </w:rPr>
              <w:t>Domestic &amp; Cleaning</w:t>
            </w:r>
          </w:p>
        </w:tc>
        <w:tc>
          <w:tcPr>
            <w:tcW w:w="2283" w:type="dxa"/>
            <w:tcBorders>
              <w:top w:val="single" w:sz="4" w:space="0" w:color="auto"/>
              <w:left w:val="nil"/>
              <w:bottom w:val="single" w:sz="4" w:space="0" w:color="auto"/>
              <w:right w:val="nil"/>
            </w:tcBorders>
            <w:shd w:val="clear" w:color="auto" w:fill="auto"/>
            <w:noWrap/>
            <w:vAlign w:val="bottom"/>
          </w:tcPr>
          <w:p w14:paraId="0712FD78" w14:textId="3BAC8CA3" w:rsidR="00A5597C" w:rsidRPr="00CE1A25" w:rsidRDefault="00A5597C" w:rsidP="00A5597C">
            <w:pPr>
              <w:jc w:val="right"/>
              <w:rPr>
                <w:color w:val="auto"/>
                <w:sz w:val="18"/>
                <w:szCs w:val="18"/>
              </w:rPr>
            </w:pPr>
            <w:r>
              <w:rPr>
                <w:color w:val="000000"/>
              </w:rPr>
              <w:t xml:space="preserve"> 8.32        (29)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2A554" w14:textId="33107537" w:rsidR="00A5597C" w:rsidRPr="00CE1A25" w:rsidRDefault="00A5597C" w:rsidP="00A5597C">
            <w:pPr>
              <w:jc w:val="right"/>
              <w:rPr>
                <w:color w:val="auto"/>
                <w:sz w:val="18"/>
                <w:szCs w:val="18"/>
              </w:rPr>
            </w:pPr>
            <w:r>
              <w:rPr>
                <w:color w:val="000000"/>
              </w:rPr>
              <w:t xml:space="preserve"> 8.32        (29)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ADD8552" w14:textId="1A113E8B" w:rsidR="00A5597C" w:rsidRPr="00CE1A25" w:rsidRDefault="00A5597C" w:rsidP="00A5597C">
            <w:pPr>
              <w:jc w:val="right"/>
              <w:rPr>
                <w:color w:val="auto"/>
                <w:sz w:val="18"/>
                <w:szCs w:val="18"/>
              </w:rPr>
            </w:pPr>
            <w:r>
              <w:rPr>
                <w:color w:val="000000"/>
              </w:rPr>
              <w:t xml:space="preserve"> 8.32        (29)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F5073BA" w14:textId="68EA0AE3" w:rsidR="00A5597C" w:rsidRPr="00CE1A25" w:rsidRDefault="00A5597C" w:rsidP="00A5597C">
            <w:pPr>
              <w:jc w:val="right"/>
              <w:rPr>
                <w:color w:val="auto"/>
                <w:sz w:val="18"/>
                <w:szCs w:val="18"/>
              </w:rPr>
            </w:pPr>
            <w:r>
              <w:rPr>
                <w:color w:val="000000"/>
              </w:rPr>
              <w:t xml:space="preserve"> 8.32        (29) </w:t>
            </w:r>
          </w:p>
        </w:tc>
      </w:tr>
      <w:tr w:rsidR="00A5597C" w:rsidRPr="00CE1A25" w14:paraId="4517D859" w14:textId="77777777" w:rsidTr="00A5597C">
        <w:trPr>
          <w:trHeight w:val="300"/>
        </w:trPr>
        <w:tc>
          <w:tcPr>
            <w:tcW w:w="4815" w:type="dxa"/>
            <w:shd w:val="clear" w:color="auto" w:fill="D9D9D9" w:themeFill="background1" w:themeFillShade="D9"/>
            <w:noWrap/>
            <w:hideMark/>
          </w:tcPr>
          <w:p w14:paraId="2FED05BF" w14:textId="77777777" w:rsidR="00A5597C" w:rsidRPr="00CE1A25" w:rsidRDefault="00A5597C" w:rsidP="00A5597C">
            <w:pPr>
              <w:rPr>
                <w:color w:val="auto"/>
                <w:sz w:val="18"/>
                <w:szCs w:val="18"/>
              </w:rPr>
            </w:pPr>
            <w:r w:rsidRPr="00CE1A25">
              <w:rPr>
                <w:color w:val="auto"/>
                <w:sz w:val="18"/>
                <w:szCs w:val="18"/>
              </w:rPr>
              <w:t>Medical Supplies</w:t>
            </w:r>
          </w:p>
        </w:tc>
        <w:tc>
          <w:tcPr>
            <w:tcW w:w="2283" w:type="dxa"/>
            <w:tcBorders>
              <w:top w:val="single" w:sz="4" w:space="0" w:color="auto"/>
              <w:left w:val="nil"/>
              <w:bottom w:val="single" w:sz="4" w:space="0" w:color="auto"/>
              <w:right w:val="nil"/>
            </w:tcBorders>
            <w:shd w:val="clear" w:color="auto" w:fill="auto"/>
            <w:noWrap/>
            <w:vAlign w:val="bottom"/>
          </w:tcPr>
          <w:p w14:paraId="3302480E" w14:textId="1480E519" w:rsidR="00A5597C" w:rsidRPr="00CE1A25" w:rsidRDefault="00A5597C" w:rsidP="00A5597C">
            <w:pPr>
              <w:jc w:val="right"/>
              <w:rPr>
                <w:color w:val="auto"/>
                <w:sz w:val="18"/>
                <w:szCs w:val="18"/>
              </w:rPr>
            </w:pPr>
            <w:r>
              <w:rPr>
                <w:color w:val="000000"/>
              </w:rPr>
              <w:t xml:space="preserve"> 4.38        (26)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3087D" w14:textId="00911C80" w:rsidR="00A5597C" w:rsidRPr="00CE1A25" w:rsidRDefault="00A5597C" w:rsidP="00A5597C">
            <w:pPr>
              <w:jc w:val="right"/>
              <w:rPr>
                <w:color w:val="auto"/>
                <w:sz w:val="18"/>
                <w:szCs w:val="18"/>
              </w:rPr>
            </w:pPr>
            <w:r>
              <w:rPr>
                <w:color w:val="000000"/>
              </w:rPr>
              <w:t xml:space="preserve"> 4.38        (26)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8B9A796" w14:textId="2A716E5B" w:rsidR="00A5597C" w:rsidRPr="00CE1A25" w:rsidRDefault="00A5597C" w:rsidP="00A5597C">
            <w:pPr>
              <w:jc w:val="right"/>
              <w:rPr>
                <w:color w:val="auto"/>
                <w:sz w:val="18"/>
                <w:szCs w:val="18"/>
              </w:rPr>
            </w:pPr>
            <w:r>
              <w:rPr>
                <w:color w:val="000000"/>
              </w:rPr>
              <w:t xml:space="preserve"> 4.38        (26)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55EE8DB" w14:textId="01F7FBB6" w:rsidR="00A5597C" w:rsidRPr="00CE1A25" w:rsidRDefault="00A5597C" w:rsidP="00A5597C">
            <w:pPr>
              <w:jc w:val="right"/>
              <w:rPr>
                <w:color w:val="auto"/>
                <w:sz w:val="18"/>
                <w:szCs w:val="18"/>
              </w:rPr>
            </w:pPr>
            <w:r>
              <w:rPr>
                <w:color w:val="000000"/>
              </w:rPr>
              <w:t xml:space="preserve"> 4.38        (26) </w:t>
            </w:r>
          </w:p>
        </w:tc>
      </w:tr>
      <w:tr w:rsidR="00A5597C" w:rsidRPr="00CE1A25" w14:paraId="0CA7B574" w14:textId="77777777" w:rsidTr="00A5597C">
        <w:trPr>
          <w:trHeight w:val="300"/>
        </w:trPr>
        <w:tc>
          <w:tcPr>
            <w:tcW w:w="4815" w:type="dxa"/>
            <w:shd w:val="clear" w:color="auto" w:fill="D9D9D9" w:themeFill="background1" w:themeFillShade="D9"/>
            <w:noWrap/>
            <w:hideMark/>
          </w:tcPr>
          <w:p w14:paraId="3ED3B06A" w14:textId="77777777" w:rsidR="00A5597C" w:rsidRPr="00CE1A25" w:rsidRDefault="00A5597C" w:rsidP="00A5597C">
            <w:pPr>
              <w:rPr>
                <w:color w:val="auto"/>
                <w:sz w:val="18"/>
                <w:szCs w:val="18"/>
              </w:rPr>
            </w:pPr>
            <w:r w:rsidRPr="00CE1A25">
              <w:rPr>
                <w:color w:val="auto"/>
                <w:sz w:val="18"/>
                <w:szCs w:val="18"/>
              </w:rPr>
              <w:t>PPE</w:t>
            </w:r>
          </w:p>
        </w:tc>
        <w:tc>
          <w:tcPr>
            <w:tcW w:w="2283" w:type="dxa"/>
            <w:tcBorders>
              <w:top w:val="single" w:sz="4" w:space="0" w:color="auto"/>
              <w:left w:val="nil"/>
              <w:bottom w:val="single" w:sz="4" w:space="0" w:color="auto"/>
              <w:right w:val="nil"/>
            </w:tcBorders>
            <w:shd w:val="clear" w:color="auto" w:fill="auto"/>
            <w:noWrap/>
            <w:vAlign w:val="bottom"/>
          </w:tcPr>
          <w:p w14:paraId="5A23A36E" w14:textId="4A661AA1" w:rsidR="00A5597C" w:rsidRPr="00CE1A25" w:rsidRDefault="00A5597C" w:rsidP="00A5597C">
            <w:pPr>
              <w:jc w:val="right"/>
              <w:rPr>
                <w:color w:val="auto"/>
                <w:sz w:val="18"/>
                <w:szCs w:val="18"/>
              </w:rPr>
            </w:pPr>
            <w:r>
              <w:rPr>
                <w:color w:val="000000"/>
              </w:rPr>
              <w:t xml:space="preserve"> 9.41        (15)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19365" w14:textId="25CCE684" w:rsidR="00A5597C" w:rsidRPr="00CE1A25" w:rsidRDefault="00A5597C" w:rsidP="00A5597C">
            <w:pPr>
              <w:jc w:val="right"/>
              <w:rPr>
                <w:color w:val="auto"/>
                <w:sz w:val="18"/>
                <w:szCs w:val="18"/>
              </w:rPr>
            </w:pPr>
            <w:r>
              <w:rPr>
                <w:color w:val="000000"/>
              </w:rPr>
              <w:t xml:space="preserve"> 9.41        (15)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2C05AC5" w14:textId="5B275597" w:rsidR="00A5597C" w:rsidRPr="00CE1A25" w:rsidRDefault="00A5597C" w:rsidP="00A5597C">
            <w:pPr>
              <w:jc w:val="right"/>
              <w:rPr>
                <w:color w:val="auto"/>
                <w:sz w:val="18"/>
                <w:szCs w:val="18"/>
              </w:rPr>
            </w:pPr>
            <w:r>
              <w:rPr>
                <w:color w:val="000000"/>
              </w:rPr>
              <w:t xml:space="preserve"> 9.41        (15)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866D936" w14:textId="436D3A74" w:rsidR="00A5597C" w:rsidRPr="00CE1A25" w:rsidRDefault="00A5597C" w:rsidP="00A5597C">
            <w:pPr>
              <w:jc w:val="right"/>
              <w:rPr>
                <w:color w:val="auto"/>
                <w:sz w:val="18"/>
                <w:szCs w:val="18"/>
              </w:rPr>
            </w:pPr>
            <w:r>
              <w:rPr>
                <w:color w:val="000000"/>
              </w:rPr>
              <w:t xml:space="preserve"> 9.41        (15) </w:t>
            </w:r>
          </w:p>
        </w:tc>
      </w:tr>
      <w:tr w:rsidR="00A5597C" w:rsidRPr="00CE1A25" w14:paraId="3F7952E3" w14:textId="77777777" w:rsidTr="00A5597C">
        <w:trPr>
          <w:trHeight w:val="300"/>
        </w:trPr>
        <w:tc>
          <w:tcPr>
            <w:tcW w:w="4815" w:type="dxa"/>
            <w:shd w:val="clear" w:color="auto" w:fill="D9D9D9" w:themeFill="background1" w:themeFillShade="D9"/>
            <w:noWrap/>
            <w:hideMark/>
          </w:tcPr>
          <w:p w14:paraId="18E8DC8A" w14:textId="77777777" w:rsidR="00A5597C" w:rsidRPr="00CE1A25" w:rsidRDefault="00A5597C" w:rsidP="00A5597C">
            <w:pPr>
              <w:rPr>
                <w:color w:val="auto"/>
                <w:sz w:val="18"/>
                <w:szCs w:val="18"/>
              </w:rPr>
            </w:pPr>
            <w:r w:rsidRPr="00CE1A25">
              <w:rPr>
                <w:color w:val="auto"/>
                <w:sz w:val="18"/>
                <w:szCs w:val="18"/>
              </w:rPr>
              <w:t>Office Supplies</w:t>
            </w:r>
          </w:p>
        </w:tc>
        <w:tc>
          <w:tcPr>
            <w:tcW w:w="2283" w:type="dxa"/>
            <w:tcBorders>
              <w:top w:val="single" w:sz="4" w:space="0" w:color="auto"/>
              <w:left w:val="nil"/>
              <w:bottom w:val="single" w:sz="4" w:space="0" w:color="auto"/>
              <w:right w:val="nil"/>
            </w:tcBorders>
            <w:shd w:val="clear" w:color="auto" w:fill="auto"/>
            <w:noWrap/>
            <w:vAlign w:val="bottom"/>
          </w:tcPr>
          <w:p w14:paraId="386152DB" w14:textId="4E44D3AE" w:rsidR="00A5597C" w:rsidRPr="00CE1A25" w:rsidRDefault="00A5597C" w:rsidP="00A5597C">
            <w:pPr>
              <w:jc w:val="right"/>
              <w:rPr>
                <w:color w:val="auto"/>
                <w:sz w:val="18"/>
                <w:szCs w:val="18"/>
              </w:rPr>
            </w:pPr>
            <w:r>
              <w:rPr>
                <w:color w:val="000000"/>
              </w:rPr>
              <w:t xml:space="preserve"> 2.6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4624B" w14:textId="7184B922" w:rsidR="00A5597C" w:rsidRPr="00CE1A25" w:rsidRDefault="00A5597C" w:rsidP="00A5597C">
            <w:pPr>
              <w:jc w:val="right"/>
              <w:rPr>
                <w:color w:val="auto"/>
                <w:sz w:val="18"/>
                <w:szCs w:val="18"/>
              </w:rPr>
            </w:pPr>
            <w:r>
              <w:rPr>
                <w:color w:val="000000"/>
              </w:rPr>
              <w:t xml:space="preserve"> 2.6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B2B9CB5" w14:textId="411B3FDB" w:rsidR="00A5597C" w:rsidRPr="00CE1A25" w:rsidRDefault="00A5597C" w:rsidP="00A5597C">
            <w:pPr>
              <w:jc w:val="right"/>
              <w:rPr>
                <w:color w:val="auto"/>
                <w:sz w:val="18"/>
                <w:szCs w:val="18"/>
              </w:rPr>
            </w:pPr>
            <w:r>
              <w:rPr>
                <w:color w:val="000000"/>
              </w:rPr>
              <w:t xml:space="preserve"> 2.6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3278DD8" w14:textId="7EE2D1E3" w:rsidR="00A5597C" w:rsidRPr="00CE1A25" w:rsidRDefault="00A5597C" w:rsidP="00A5597C">
            <w:pPr>
              <w:jc w:val="right"/>
              <w:rPr>
                <w:color w:val="auto"/>
                <w:sz w:val="18"/>
                <w:szCs w:val="18"/>
              </w:rPr>
            </w:pPr>
            <w:r>
              <w:rPr>
                <w:color w:val="000000"/>
              </w:rPr>
              <w:t xml:space="preserve"> 2.6        (34) </w:t>
            </w:r>
          </w:p>
        </w:tc>
      </w:tr>
      <w:tr w:rsidR="00A5597C" w:rsidRPr="00CE1A25" w14:paraId="29E18A41" w14:textId="77777777" w:rsidTr="00A5597C">
        <w:trPr>
          <w:trHeight w:val="300"/>
        </w:trPr>
        <w:tc>
          <w:tcPr>
            <w:tcW w:w="4815" w:type="dxa"/>
            <w:shd w:val="clear" w:color="auto" w:fill="D9D9D9" w:themeFill="background1" w:themeFillShade="D9"/>
            <w:noWrap/>
            <w:hideMark/>
          </w:tcPr>
          <w:p w14:paraId="2C6DA9E1" w14:textId="77777777" w:rsidR="00A5597C" w:rsidRPr="00CE1A25" w:rsidRDefault="00A5597C" w:rsidP="00A5597C">
            <w:pPr>
              <w:rPr>
                <w:color w:val="auto"/>
                <w:sz w:val="18"/>
                <w:szCs w:val="18"/>
              </w:rPr>
            </w:pPr>
            <w:r w:rsidRPr="00CE1A25">
              <w:rPr>
                <w:color w:val="auto"/>
                <w:sz w:val="18"/>
                <w:szCs w:val="18"/>
              </w:rPr>
              <w:t>Insurance</w:t>
            </w:r>
          </w:p>
        </w:tc>
        <w:tc>
          <w:tcPr>
            <w:tcW w:w="2283" w:type="dxa"/>
            <w:tcBorders>
              <w:top w:val="single" w:sz="4" w:space="0" w:color="auto"/>
              <w:left w:val="nil"/>
              <w:bottom w:val="single" w:sz="4" w:space="0" w:color="auto"/>
              <w:right w:val="nil"/>
            </w:tcBorders>
            <w:shd w:val="clear" w:color="auto" w:fill="auto"/>
            <w:noWrap/>
            <w:vAlign w:val="bottom"/>
          </w:tcPr>
          <w:p w14:paraId="061AE74C" w14:textId="78F3E1C4" w:rsidR="00A5597C" w:rsidRPr="00CE1A25" w:rsidRDefault="00A5597C" w:rsidP="00A5597C">
            <w:pPr>
              <w:jc w:val="right"/>
              <w:rPr>
                <w:color w:val="auto"/>
                <w:sz w:val="18"/>
                <w:szCs w:val="18"/>
              </w:rPr>
            </w:pPr>
            <w:r>
              <w:rPr>
                <w:color w:val="000000"/>
              </w:rPr>
              <w:t xml:space="preserve"> 7.59        (30)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7F7D2" w14:textId="2417576E" w:rsidR="00A5597C" w:rsidRPr="00CE1A25" w:rsidRDefault="00A5597C" w:rsidP="00A5597C">
            <w:pPr>
              <w:jc w:val="right"/>
              <w:rPr>
                <w:color w:val="auto"/>
                <w:sz w:val="18"/>
                <w:szCs w:val="18"/>
              </w:rPr>
            </w:pPr>
            <w:r>
              <w:rPr>
                <w:color w:val="000000"/>
              </w:rPr>
              <w:t xml:space="preserve"> 7.59        (30)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55B0963" w14:textId="44DE153F" w:rsidR="00A5597C" w:rsidRPr="00CE1A25" w:rsidRDefault="00A5597C" w:rsidP="00A5597C">
            <w:pPr>
              <w:jc w:val="right"/>
              <w:rPr>
                <w:color w:val="auto"/>
                <w:sz w:val="18"/>
                <w:szCs w:val="18"/>
              </w:rPr>
            </w:pPr>
            <w:r>
              <w:rPr>
                <w:color w:val="000000"/>
              </w:rPr>
              <w:t xml:space="preserve"> 7.59        (30)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083C321" w14:textId="7492EAF0" w:rsidR="00A5597C" w:rsidRPr="00CE1A25" w:rsidRDefault="00A5597C" w:rsidP="00A5597C">
            <w:pPr>
              <w:jc w:val="right"/>
              <w:rPr>
                <w:color w:val="auto"/>
                <w:sz w:val="18"/>
                <w:szCs w:val="18"/>
              </w:rPr>
            </w:pPr>
            <w:r>
              <w:rPr>
                <w:color w:val="000000"/>
              </w:rPr>
              <w:t xml:space="preserve"> 7.59        (30) </w:t>
            </w:r>
          </w:p>
        </w:tc>
      </w:tr>
      <w:tr w:rsidR="00A5597C" w:rsidRPr="00CE1A25" w14:paraId="6CB5FC49" w14:textId="77777777" w:rsidTr="00A5597C">
        <w:trPr>
          <w:trHeight w:val="300"/>
        </w:trPr>
        <w:tc>
          <w:tcPr>
            <w:tcW w:w="4815" w:type="dxa"/>
            <w:shd w:val="clear" w:color="auto" w:fill="D9D9D9" w:themeFill="background1" w:themeFillShade="D9"/>
            <w:noWrap/>
            <w:hideMark/>
          </w:tcPr>
          <w:p w14:paraId="4C819B1B" w14:textId="77777777" w:rsidR="00A5597C" w:rsidRPr="00CE1A25" w:rsidRDefault="00A5597C" w:rsidP="00A5597C">
            <w:pPr>
              <w:rPr>
                <w:color w:val="auto"/>
                <w:sz w:val="18"/>
                <w:szCs w:val="18"/>
              </w:rPr>
            </w:pPr>
            <w:r w:rsidRPr="00CE1A25">
              <w:rPr>
                <w:color w:val="auto"/>
                <w:sz w:val="18"/>
                <w:szCs w:val="18"/>
              </w:rPr>
              <w:t>Registration Fees</w:t>
            </w:r>
          </w:p>
        </w:tc>
        <w:tc>
          <w:tcPr>
            <w:tcW w:w="2283" w:type="dxa"/>
            <w:tcBorders>
              <w:top w:val="single" w:sz="4" w:space="0" w:color="auto"/>
              <w:left w:val="nil"/>
              <w:bottom w:val="single" w:sz="4" w:space="0" w:color="auto"/>
              <w:right w:val="nil"/>
            </w:tcBorders>
            <w:shd w:val="clear" w:color="auto" w:fill="auto"/>
            <w:noWrap/>
            <w:vAlign w:val="bottom"/>
          </w:tcPr>
          <w:p w14:paraId="23283D31" w14:textId="5246FEB2" w:rsidR="00A5597C" w:rsidRPr="00CE1A25" w:rsidRDefault="00A5597C" w:rsidP="00A5597C">
            <w:pPr>
              <w:jc w:val="right"/>
              <w:rPr>
                <w:color w:val="auto"/>
                <w:sz w:val="18"/>
                <w:szCs w:val="18"/>
              </w:rPr>
            </w:pPr>
            <w:r>
              <w:rPr>
                <w:color w:val="000000"/>
              </w:rPr>
              <w:t xml:space="preserve"> 3.91        (28)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0473B" w14:textId="5CF95325" w:rsidR="00A5597C" w:rsidRPr="00CE1A25" w:rsidRDefault="00A5597C" w:rsidP="00A5597C">
            <w:pPr>
              <w:jc w:val="right"/>
              <w:rPr>
                <w:color w:val="auto"/>
                <w:sz w:val="18"/>
                <w:szCs w:val="18"/>
              </w:rPr>
            </w:pPr>
            <w:r>
              <w:rPr>
                <w:color w:val="000000"/>
              </w:rPr>
              <w:t xml:space="preserve"> 3.91        (28)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07998BF" w14:textId="2BFB4A40" w:rsidR="00A5597C" w:rsidRPr="00CE1A25" w:rsidRDefault="00A5597C" w:rsidP="00A5597C">
            <w:pPr>
              <w:jc w:val="right"/>
              <w:rPr>
                <w:color w:val="auto"/>
                <w:sz w:val="18"/>
                <w:szCs w:val="18"/>
              </w:rPr>
            </w:pPr>
            <w:r>
              <w:rPr>
                <w:color w:val="000000"/>
              </w:rPr>
              <w:t xml:space="preserve"> 3.91        (28)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13E5A9F6" w14:textId="09401E4D" w:rsidR="00A5597C" w:rsidRPr="00CE1A25" w:rsidRDefault="00A5597C" w:rsidP="00A5597C">
            <w:pPr>
              <w:jc w:val="right"/>
              <w:rPr>
                <w:color w:val="auto"/>
                <w:sz w:val="18"/>
                <w:szCs w:val="18"/>
              </w:rPr>
            </w:pPr>
            <w:r>
              <w:rPr>
                <w:color w:val="000000"/>
              </w:rPr>
              <w:t xml:space="preserve"> 3.91        (28) </w:t>
            </w:r>
          </w:p>
        </w:tc>
      </w:tr>
      <w:tr w:rsidR="00A5597C" w:rsidRPr="00CE1A25" w14:paraId="538AF77E" w14:textId="77777777" w:rsidTr="00A5597C">
        <w:trPr>
          <w:trHeight w:val="300"/>
        </w:trPr>
        <w:tc>
          <w:tcPr>
            <w:tcW w:w="4815" w:type="dxa"/>
            <w:shd w:val="clear" w:color="auto" w:fill="D9D9D9" w:themeFill="background1" w:themeFillShade="D9"/>
            <w:noWrap/>
            <w:hideMark/>
          </w:tcPr>
          <w:p w14:paraId="1C9C6605" w14:textId="77777777" w:rsidR="00A5597C" w:rsidRPr="00CE1A25" w:rsidRDefault="00A5597C" w:rsidP="00A5597C">
            <w:pPr>
              <w:rPr>
                <w:color w:val="auto"/>
                <w:sz w:val="18"/>
                <w:szCs w:val="18"/>
              </w:rPr>
            </w:pPr>
            <w:r w:rsidRPr="00CE1A25">
              <w:rPr>
                <w:color w:val="auto"/>
                <w:sz w:val="18"/>
                <w:szCs w:val="18"/>
              </w:rPr>
              <w:t>Telephone &amp; Internet</w:t>
            </w:r>
          </w:p>
        </w:tc>
        <w:tc>
          <w:tcPr>
            <w:tcW w:w="2283" w:type="dxa"/>
            <w:tcBorders>
              <w:top w:val="single" w:sz="4" w:space="0" w:color="auto"/>
              <w:left w:val="nil"/>
              <w:bottom w:val="single" w:sz="4" w:space="0" w:color="auto"/>
              <w:right w:val="nil"/>
            </w:tcBorders>
            <w:shd w:val="clear" w:color="auto" w:fill="auto"/>
            <w:noWrap/>
            <w:vAlign w:val="bottom"/>
          </w:tcPr>
          <w:p w14:paraId="37029E11" w14:textId="076F24D7" w:rsidR="00A5597C" w:rsidRPr="00CE1A25" w:rsidRDefault="00A5597C" w:rsidP="00A5597C">
            <w:pPr>
              <w:jc w:val="right"/>
              <w:rPr>
                <w:color w:val="auto"/>
                <w:sz w:val="18"/>
                <w:szCs w:val="18"/>
              </w:rPr>
            </w:pPr>
            <w:r>
              <w:rPr>
                <w:color w:val="000000"/>
              </w:rPr>
              <w:t xml:space="preserve"> 6.57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6BA41" w14:textId="66F9B41B" w:rsidR="00A5597C" w:rsidRPr="00CE1A25" w:rsidRDefault="00A5597C" w:rsidP="00A5597C">
            <w:pPr>
              <w:jc w:val="right"/>
              <w:rPr>
                <w:color w:val="auto"/>
                <w:sz w:val="18"/>
                <w:szCs w:val="18"/>
              </w:rPr>
            </w:pPr>
            <w:r>
              <w:rPr>
                <w:color w:val="000000"/>
              </w:rPr>
              <w:t xml:space="preserve"> 6.57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7D445C7" w14:textId="76D3C1F3" w:rsidR="00A5597C" w:rsidRPr="00CE1A25" w:rsidRDefault="00A5597C" w:rsidP="00A5597C">
            <w:pPr>
              <w:jc w:val="right"/>
              <w:rPr>
                <w:color w:val="auto"/>
                <w:sz w:val="18"/>
                <w:szCs w:val="18"/>
              </w:rPr>
            </w:pPr>
            <w:r>
              <w:rPr>
                <w:color w:val="000000"/>
              </w:rPr>
              <w:t xml:space="preserve"> 6.57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585A800" w14:textId="723DCF0C" w:rsidR="00A5597C" w:rsidRPr="00CE1A25" w:rsidRDefault="00A5597C" w:rsidP="00A5597C">
            <w:pPr>
              <w:jc w:val="right"/>
              <w:rPr>
                <w:color w:val="auto"/>
                <w:sz w:val="18"/>
                <w:szCs w:val="18"/>
              </w:rPr>
            </w:pPr>
            <w:r>
              <w:rPr>
                <w:color w:val="000000"/>
              </w:rPr>
              <w:t xml:space="preserve"> 6.57        (36) </w:t>
            </w:r>
          </w:p>
        </w:tc>
      </w:tr>
      <w:tr w:rsidR="00A5597C" w:rsidRPr="00CE1A25" w14:paraId="4701B2F4" w14:textId="77777777" w:rsidTr="00A5597C">
        <w:trPr>
          <w:trHeight w:val="300"/>
        </w:trPr>
        <w:tc>
          <w:tcPr>
            <w:tcW w:w="4815" w:type="dxa"/>
            <w:shd w:val="clear" w:color="auto" w:fill="D9D9D9" w:themeFill="background1" w:themeFillShade="D9"/>
            <w:noWrap/>
            <w:hideMark/>
          </w:tcPr>
          <w:p w14:paraId="15458168" w14:textId="77777777" w:rsidR="00A5597C" w:rsidRPr="00CE1A25" w:rsidRDefault="00A5597C" w:rsidP="00A5597C">
            <w:pPr>
              <w:rPr>
                <w:color w:val="auto"/>
                <w:sz w:val="18"/>
                <w:szCs w:val="18"/>
              </w:rPr>
            </w:pPr>
            <w:r w:rsidRPr="00CE1A25">
              <w:rPr>
                <w:color w:val="auto"/>
                <w:sz w:val="18"/>
                <w:szCs w:val="18"/>
              </w:rPr>
              <w:t>Council Tax / rates</w:t>
            </w:r>
          </w:p>
        </w:tc>
        <w:tc>
          <w:tcPr>
            <w:tcW w:w="2283" w:type="dxa"/>
            <w:tcBorders>
              <w:top w:val="single" w:sz="4" w:space="0" w:color="auto"/>
              <w:left w:val="nil"/>
              <w:bottom w:val="single" w:sz="4" w:space="0" w:color="auto"/>
              <w:right w:val="nil"/>
            </w:tcBorders>
            <w:shd w:val="clear" w:color="auto" w:fill="auto"/>
            <w:noWrap/>
            <w:vAlign w:val="bottom"/>
          </w:tcPr>
          <w:p w14:paraId="26822416" w14:textId="682A9D5D" w:rsidR="00A5597C" w:rsidRPr="00CE1A25" w:rsidRDefault="00A5597C" w:rsidP="00A5597C">
            <w:pPr>
              <w:jc w:val="right"/>
              <w:rPr>
                <w:color w:val="auto"/>
                <w:sz w:val="18"/>
                <w:szCs w:val="18"/>
              </w:rPr>
            </w:pPr>
            <w:r>
              <w:rPr>
                <w:color w:val="000000"/>
              </w:rPr>
              <w:t xml:space="preserve"> 1.03        (32)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F2766" w14:textId="53640FA5" w:rsidR="00A5597C" w:rsidRPr="00CE1A25" w:rsidRDefault="00A5597C" w:rsidP="00A5597C">
            <w:pPr>
              <w:jc w:val="right"/>
              <w:rPr>
                <w:color w:val="auto"/>
                <w:sz w:val="18"/>
                <w:szCs w:val="18"/>
              </w:rPr>
            </w:pPr>
            <w:r>
              <w:rPr>
                <w:color w:val="000000"/>
              </w:rPr>
              <w:t xml:space="preserve"> 1.03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F8751DD" w14:textId="16FDC48B" w:rsidR="00A5597C" w:rsidRPr="00CE1A25" w:rsidRDefault="00A5597C" w:rsidP="00A5597C">
            <w:pPr>
              <w:jc w:val="right"/>
              <w:rPr>
                <w:color w:val="auto"/>
                <w:sz w:val="18"/>
                <w:szCs w:val="18"/>
              </w:rPr>
            </w:pPr>
            <w:r>
              <w:rPr>
                <w:color w:val="000000"/>
              </w:rPr>
              <w:t xml:space="preserve"> 1.03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55C7503" w14:textId="168A8C88" w:rsidR="00A5597C" w:rsidRPr="00CE1A25" w:rsidRDefault="00A5597C" w:rsidP="00A5597C">
            <w:pPr>
              <w:jc w:val="right"/>
              <w:rPr>
                <w:color w:val="auto"/>
                <w:sz w:val="18"/>
                <w:szCs w:val="18"/>
              </w:rPr>
            </w:pPr>
            <w:r>
              <w:rPr>
                <w:color w:val="000000"/>
              </w:rPr>
              <w:t xml:space="preserve"> 1.03        (32) </w:t>
            </w:r>
          </w:p>
        </w:tc>
      </w:tr>
      <w:tr w:rsidR="00A5597C" w:rsidRPr="00CE1A25" w14:paraId="21C94CE3" w14:textId="77777777" w:rsidTr="00A5597C">
        <w:trPr>
          <w:trHeight w:val="300"/>
        </w:trPr>
        <w:tc>
          <w:tcPr>
            <w:tcW w:w="4815" w:type="dxa"/>
            <w:shd w:val="clear" w:color="auto" w:fill="D9D9D9" w:themeFill="background1" w:themeFillShade="D9"/>
            <w:noWrap/>
            <w:hideMark/>
          </w:tcPr>
          <w:p w14:paraId="273B23B1" w14:textId="77777777" w:rsidR="00A5597C" w:rsidRPr="00CE1A25" w:rsidRDefault="00A5597C" w:rsidP="00A5597C">
            <w:pPr>
              <w:rPr>
                <w:color w:val="auto"/>
                <w:sz w:val="18"/>
                <w:szCs w:val="18"/>
              </w:rPr>
            </w:pPr>
            <w:r w:rsidRPr="00CE1A25">
              <w:rPr>
                <w:color w:val="auto"/>
                <w:sz w:val="18"/>
                <w:szCs w:val="18"/>
              </w:rPr>
              <w:t>Electricity, Gas &amp; Water</w:t>
            </w:r>
          </w:p>
        </w:tc>
        <w:tc>
          <w:tcPr>
            <w:tcW w:w="2283" w:type="dxa"/>
            <w:tcBorders>
              <w:top w:val="single" w:sz="4" w:space="0" w:color="auto"/>
              <w:left w:val="nil"/>
              <w:bottom w:val="single" w:sz="4" w:space="0" w:color="auto"/>
              <w:right w:val="nil"/>
            </w:tcBorders>
            <w:shd w:val="clear" w:color="auto" w:fill="auto"/>
            <w:noWrap/>
            <w:vAlign w:val="bottom"/>
          </w:tcPr>
          <w:p w14:paraId="22D50A1B" w14:textId="52B018D8" w:rsidR="00A5597C" w:rsidRPr="00CE1A25" w:rsidRDefault="00A5597C" w:rsidP="00A5597C">
            <w:pPr>
              <w:jc w:val="right"/>
              <w:rPr>
                <w:color w:val="auto"/>
                <w:sz w:val="18"/>
                <w:szCs w:val="18"/>
              </w:rPr>
            </w:pPr>
            <w:r>
              <w:rPr>
                <w:color w:val="000000"/>
              </w:rPr>
              <w:t xml:space="preserve"> 36.17        (33)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16840" w14:textId="0A93CD0D" w:rsidR="00A5597C" w:rsidRPr="00CE1A25" w:rsidRDefault="00A5597C" w:rsidP="00A5597C">
            <w:pPr>
              <w:jc w:val="right"/>
              <w:rPr>
                <w:color w:val="auto"/>
                <w:sz w:val="18"/>
                <w:szCs w:val="18"/>
              </w:rPr>
            </w:pPr>
            <w:r>
              <w:rPr>
                <w:color w:val="000000"/>
              </w:rPr>
              <w:t xml:space="preserve"> 36.17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539532B" w14:textId="7B729911" w:rsidR="00A5597C" w:rsidRPr="00CE1A25" w:rsidRDefault="00A5597C" w:rsidP="00A5597C">
            <w:pPr>
              <w:jc w:val="right"/>
              <w:rPr>
                <w:color w:val="auto"/>
                <w:sz w:val="18"/>
                <w:szCs w:val="18"/>
              </w:rPr>
            </w:pPr>
            <w:r>
              <w:rPr>
                <w:color w:val="000000"/>
              </w:rPr>
              <w:t xml:space="preserve"> 36.17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3384C07" w14:textId="6CC8FFF2" w:rsidR="00A5597C" w:rsidRPr="00CE1A25" w:rsidRDefault="00A5597C" w:rsidP="00A5597C">
            <w:pPr>
              <w:jc w:val="right"/>
              <w:rPr>
                <w:color w:val="auto"/>
                <w:sz w:val="18"/>
                <w:szCs w:val="18"/>
              </w:rPr>
            </w:pPr>
            <w:r>
              <w:rPr>
                <w:color w:val="000000"/>
              </w:rPr>
              <w:t xml:space="preserve"> 36.17        (33) </w:t>
            </w:r>
          </w:p>
        </w:tc>
      </w:tr>
      <w:tr w:rsidR="00A5597C" w:rsidRPr="00CE1A25" w14:paraId="325CBBD1" w14:textId="77777777" w:rsidTr="00A5597C">
        <w:trPr>
          <w:trHeight w:val="300"/>
        </w:trPr>
        <w:tc>
          <w:tcPr>
            <w:tcW w:w="4815" w:type="dxa"/>
            <w:shd w:val="clear" w:color="auto" w:fill="D9D9D9" w:themeFill="background1" w:themeFillShade="D9"/>
            <w:noWrap/>
            <w:hideMark/>
          </w:tcPr>
          <w:p w14:paraId="4297579D" w14:textId="77777777" w:rsidR="00A5597C" w:rsidRPr="00CE1A25" w:rsidRDefault="00A5597C" w:rsidP="00A5597C">
            <w:pPr>
              <w:rPr>
                <w:color w:val="auto"/>
                <w:sz w:val="18"/>
                <w:szCs w:val="18"/>
              </w:rPr>
            </w:pPr>
            <w:r w:rsidRPr="00CE1A25">
              <w:rPr>
                <w:color w:val="auto"/>
                <w:sz w:val="18"/>
                <w:szCs w:val="18"/>
              </w:rPr>
              <w:t>Trade and Clinical Waste</w:t>
            </w:r>
          </w:p>
        </w:tc>
        <w:tc>
          <w:tcPr>
            <w:tcW w:w="2283" w:type="dxa"/>
            <w:tcBorders>
              <w:top w:val="single" w:sz="4" w:space="0" w:color="auto"/>
              <w:left w:val="nil"/>
              <w:bottom w:val="single" w:sz="4" w:space="0" w:color="auto"/>
              <w:right w:val="nil"/>
            </w:tcBorders>
            <w:shd w:val="clear" w:color="auto" w:fill="auto"/>
            <w:noWrap/>
            <w:vAlign w:val="bottom"/>
          </w:tcPr>
          <w:p w14:paraId="430906E4" w14:textId="5A9841DA" w:rsidR="00A5597C" w:rsidRPr="00CE1A25" w:rsidRDefault="00A5597C" w:rsidP="00A5597C">
            <w:pPr>
              <w:jc w:val="right"/>
              <w:rPr>
                <w:color w:val="auto"/>
                <w:sz w:val="18"/>
                <w:szCs w:val="18"/>
              </w:rPr>
            </w:pPr>
            <w:r>
              <w:rPr>
                <w:color w:val="000000"/>
              </w:rPr>
              <w:t xml:space="preserve"> 5.66        (34)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A1F09" w14:textId="46C06F37" w:rsidR="00A5597C" w:rsidRPr="00CE1A25" w:rsidRDefault="00A5597C" w:rsidP="00A5597C">
            <w:pPr>
              <w:jc w:val="right"/>
              <w:rPr>
                <w:color w:val="auto"/>
                <w:sz w:val="18"/>
                <w:szCs w:val="18"/>
              </w:rPr>
            </w:pPr>
            <w:r>
              <w:rPr>
                <w:color w:val="000000"/>
              </w:rPr>
              <w:t xml:space="preserve"> 5.66        (34)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38657DAD" w14:textId="02F38FD8" w:rsidR="00A5597C" w:rsidRPr="00CE1A25" w:rsidRDefault="00A5597C" w:rsidP="00A5597C">
            <w:pPr>
              <w:jc w:val="right"/>
              <w:rPr>
                <w:color w:val="auto"/>
                <w:sz w:val="18"/>
                <w:szCs w:val="18"/>
              </w:rPr>
            </w:pPr>
            <w:r>
              <w:rPr>
                <w:color w:val="000000"/>
              </w:rPr>
              <w:t xml:space="preserve"> 5.66        (34)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89334C9" w14:textId="7F1AFB9E" w:rsidR="00A5597C" w:rsidRPr="00CE1A25" w:rsidRDefault="00A5597C" w:rsidP="00A5597C">
            <w:pPr>
              <w:jc w:val="right"/>
              <w:rPr>
                <w:color w:val="auto"/>
                <w:sz w:val="18"/>
                <w:szCs w:val="18"/>
              </w:rPr>
            </w:pPr>
            <w:r>
              <w:rPr>
                <w:color w:val="000000"/>
              </w:rPr>
              <w:t xml:space="preserve"> 5.66        (34) </w:t>
            </w:r>
          </w:p>
        </w:tc>
      </w:tr>
      <w:tr w:rsidR="00A5597C" w:rsidRPr="00CE1A25" w14:paraId="11E4559E" w14:textId="77777777" w:rsidTr="00A5597C">
        <w:trPr>
          <w:trHeight w:val="300"/>
        </w:trPr>
        <w:tc>
          <w:tcPr>
            <w:tcW w:w="4815" w:type="dxa"/>
            <w:shd w:val="clear" w:color="auto" w:fill="D9D9D9" w:themeFill="background1" w:themeFillShade="D9"/>
            <w:noWrap/>
            <w:hideMark/>
          </w:tcPr>
          <w:p w14:paraId="2A9E0EA1" w14:textId="77777777" w:rsidR="00A5597C" w:rsidRPr="00CE1A25" w:rsidRDefault="00A5597C" w:rsidP="00A5597C">
            <w:pPr>
              <w:rPr>
                <w:color w:val="auto"/>
                <w:sz w:val="18"/>
                <w:szCs w:val="18"/>
              </w:rPr>
            </w:pPr>
            <w:r w:rsidRPr="00CE1A25">
              <w:rPr>
                <w:color w:val="auto"/>
                <w:sz w:val="18"/>
                <w:szCs w:val="18"/>
              </w:rPr>
              <w:t>Transport &amp; Activities</w:t>
            </w:r>
          </w:p>
        </w:tc>
        <w:tc>
          <w:tcPr>
            <w:tcW w:w="2283" w:type="dxa"/>
            <w:tcBorders>
              <w:top w:val="single" w:sz="4" w:space="0" w:color="auto"/>
              <w:left w:val="nil"/>
              <w:bottom w:val="single" w:sz="4" w:space="0" w:color="auto"/>
              <w:right w:val="nil"/>
            </w:tcBorders>
            <w:shd w:val="clear" w:color="auto" w:fill="auto"/>
            <w:noWrap/>
            <w:vAlign w:val="bottom"/>
          </w:tcPr>
          <w:p w14:paraId="0CA3F7D4" w14:textId="658EB285" w:rsidR="00A5597C" w:rsidRPr="00CE1A25" w:rsidRDefault="00A5597C" w:rsidP="00A5597C">
            <w:pPr>
              <w:jc w:val="right"/>
              <w:rPr>
                <w:color w:val="auto"/>
                <w:sz w:val="18"/>
                <w:szCs w:val="18"/>
              </w:rPr>
            </w:pPr>
            <w:r>
              <w:rPr>
                <w:color w:val="000000"/>
              </w:rPr>
              <w:t xml:space="preserve"> 4.45        (36)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7427B" w14:textId="3C60A930" w:rsidR="00A5597C" w:rsidRPr="00CE1A25" w:rsidRDefault="00A5597C" w:rsidP="00A5597C">
            <w:pPr>
              <w:jc w:val="right"/>
              <w:rPr>
                <w:color w:val="auto"/>
                <w:sz w:val="18"/>
                <w:szCs w:val="18"/>
              </w:rPr>
            </w:pPr>
            <w:r>
              <w:rPr>
                <w:color w:val="000000"/>
              </w:rPr>
              <w:t xml:space="preserve"> 4.45        (36)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96E2094" w14:textId="4840733B" w:rsidR="00A5597C" w:rsidRPr="00CE1A25" w:rsidRDefault="00A5597C" w:rsidP="00A5597C">
            <w:pPr>
              <w:jc w:val="right"/>
              <w:rPr>
                <w:color w:val="auto"/>
                <w:sz w:val="18"/>
                <w:szCs w:val="18"/>
              </w:rPr>
            </w:pPr>
            <w:r>
              <w:rPr>
                <w:color w:val="000000"/>
              </w:rPr>
              <w:t xml:space="preserve"> 4.45        (36)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0E4BAEF" w14:textId="45D71194" w:rsidR="00A5597C" w:rsidRPr="00CE1A25" w:rsidRDefault="00A5597C" w:rsidP="00A5597C">
            <w:pPr>
              <w:jc w:val="right"/>
              <w:rPr>
                <w:color w:val="auto"/>
                <w:sz w:val="18"/>
                <w:szCs w:val="18"/>
              </w:rPr>
            </w:pPr>
            <w:r>
              <w:rPr>
                <w:color w:val="000000"/>
              </w:rPr>
              <w:t xml:space="preserve"> 4.45        (36) </w:t>
            </w:r>
          </w:p>
        </w:tc>
      </w:tr>
      <w:tr w:rsidR="00A5597C" w:rsidRPr="00CE1A25" w14:paraId="794FA8AF" w14:textId="77777777" w:rsidTr="00A5597C">
        <w:trPr>
          <w:trHeight w:val="300"/>
        </w:trPr>
        <w:tc>
          <w:tcPr>
            <w:tcW w:w="4815" w:type="dxa"/>
            <w:shd w:val="clear" w:color="auto" w:fill="D9D9D9" w:themeFill="background1" w:themeFillShade="D9"/>
            <w:noWrap/>
            <w:hideMark/>
          </w:tcPr>
          <w:p w14:paraId="7FB54C5C" w14:textId="77777777" w:rsidR="00A5597C" w:rsidRPr="00CE1A25" w:rsidRDefault="00A5597C" w:rsidP="00A5597C">
            <w:pPr>
              <w:rPr>
                <w:color w:val="auto"/>
                <w:sz w:val="18"/>
                <w:szCs w:val="18"/>
              </w:rPr>
            </w:pPr>
            <w:r w:rsidRPr="00CE1A25">
              <w:rPr>
                <w:color w:val="auto"/>
                <w:sz w:val="18"/>
                <w:szCs w:val="18"/>
              </w:rPr>
              <w:t xml:space="preserve">Other Care Home </w:t>
            </w:r>
          </w:p>
        </w:tc>
        <w:tc>
          <w:tcPr>
            <w:tcW w:w="2283" w:type="dxa"/>
            <w:tcBorders>
              <w:top w:val="single" w:sz="4" w:space="0" w:color="auto"/>
              <w:left w:val="nil"/>
              <w:bottom w:val="single" w:sz="4" w:space="0" w:color="auto"/>
              <w:right w:val="nil"/>
            </w:tcBorders>
            <w:shd w:val="clear" w:color="auto" w:fill="auto"/>
            <w:noWrap/>
            <w:vAlign w:val="bottom"/>
          </w:tcPr>
          <w:p w14:paraId="693F6DF0" w14:textId="748AC469" w:rsidR="00A5597C" w:rsidRPr="00CE1A25" w:rsidRDefault="00A5597C" w:rsidP="00A5597C">
            <w:pPr>
              <w:jc w:val="right"/>
              <w:rPr>
                <w:color w:val="auto"/>
                <w:sz w:val="18"/>
                <w:szCs w:val="18"/>
              </w:rPr>
            </w:pPr>
            <w:r>
              <w:rPr>
                <w:color w:val="000000"/>
              </w:rPr>
              <w:t xml:space="preserve"> 6.01        (31) </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8E97" w14:textId="67E0DAAA" w:rsidR="00A5597C" w:rsidRPr="00CE1A25" w:rsidRDefault="00A5597C" w:rsidP="00A5597C">
            <w:pPr>
              <w:jc w:val="right"/>
              <w:rPr>
                <w:color w:val="auto"/>
                <w:sz w:val="18"/>
                <w:szCs w:val="18"/>
              </w:rPr>
            </w:pPr>
            <w:r>
              <w:rPr>
                <w:color w:val="000000"/>
              </w:rPr>
              <w:t xml:space="preserve"> 6.01        (31)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990211C" w14:textId="60B39B2C" w:rsidR="00A5597C" w:rsidRPr="00CE1A25" w:rsidRDefault="00A5597C" w:rsidP="00A5597C">
            <w:pPr>
              <w:jc w:val="right"/>
              <w:rPr>
                <w:color w:val="auto"/>
                <w:sz w:val="18"/>
                <w:szCs w:val="18"/>
              </w:rPr>
            </w:pPr>
            <w:r>
              <w:rPr>
                <w:color w:val="000000"/>
              </w:rPr>
              <w:t xml:space="preserve"> 6.01        (31)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952D203" w14:textId="023670A5" w:rsidR="00A5597C" w:rsidRPr="00CE1A25" w:rsidRDefault="00A5597C" w:rsidP="00A5597C">
            <w:pPr>
              <w:jc w:val="right"/>
              <w:rPr>
                <w:color w:val="auto"/>
                <w:sz w:val="18"/>
                <w:szCs w:val="18"/>
              </w:rPr>
            </w:pPr>
            <w:r>
              <w:rPr>
                <w:color w:val="000000"/>
              </w:rPr>
              <w:t xml:space="preserve"> 6.01        (31) </w:t>
            </w:r>
          </w:p>
        </w:tc>
      </w:tr>
      <w:tr w:rsidR="00A5597C" w:rsidRPr="00CE1A25" w14:paraId="1FC90970" w14:textId="77777777" w:rsidTr="00A5597C">
        <w:trPr>
          <w:trHeight w:val="300"/>
        </w:trPr>
        <w:tc>
          <w:tcPr>
            <w:tcW w:w="4815" w:type="dxa"/>
            <w:shd w:val="clear" w:color="auto" w:fill="D9D9D9" w:themeFill="background1" w:themeFillShade="D9"/>
            <w:noWrap/>
            <w:hideMark/>
          </w:tcPr>
          <w:p w14:paraId="00073B7D" w14:textId="77777777" w:rsidR="00A5597C" w:rsidRPr="00CE1A25" w:rsidRDefault="00A5597C" w:rsidP="00A5597C">
            <w:pPr>
              <w:rPr>
                <w:b/>
                <w:bCs/>
                <w:color w:val="auto"/>
                <w:sz w:val="18"/>
                <w:szCs w:val="18"/>
              </w:rPr>
            </w:pPr>
            <w:r w:rsidRPr="00CE1A25">
              <w:rPr>
                <w:b/>
                <w:bCs/>
                <w:color w:val="auto"/>
                <w:sz w:val="18"/>
                <w:szCs w:val="18"/>
              </w:rPr>
              <w:t>Head Office</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CBE8" w14:textId="016B9968" w:rsidR="00A5597C" w:rsidRPr="00CE1A25" w:rsidRDefault="00A5597C" w:rsidP="00A5597C">
            <w:pPr>
              <w:jc w:val="right"/>
              <w:rPr>
                <w:b/>
                <w:bCs/>
                <w:color w:val="auto"/>
                <w:sz w:val="18"/>
                <w:szCs w:val="18"/>
              </w:rPr>
            </w:pPr>
            <w:r>
              <w:rPr>
                <w:b/>
                <w:bCs/>
                <w:color w:val="000000"/>
              </w:rPr>
              <w:t xml:space="preserve">            66.93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E783E2C" w14:textId="5A27ECB8" w:rsidR="00A5597C" w:rsidRPr="00CE1A25" w:rsidRDefault="00A5597C" w:rsidP="00A5597C">
            <w:pPr>
              <w:jc w:val="right"/>
              <w:rPr>
                <w:b/>
                <w:bCs/>
                <w:color w:val="auto"/>
                <w:sz w:val="18"/>
                <w:szCs w:val="18"/>
              </w:rPr>
            </w:pPr>
            <w:r>
              <w:rPr>
                <w:b/>
                <w:bCs/>
                <w:color w:val="000000"/>
              </w:rPr>
              <w:t xml:space="preserve">            66.93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5F622FB" w14:textId="5223044F" w:rsidR="00A5597C" w:rsidRPr="00CE1A25" w:rsidRDefault="00A5597C" w:rsidP="00A5597C">
            <w:pPr>
              <w:jc w:val="right"/>
              <w:rPr>
                <w:b/>
                <w:bCs/>
                <w:color w:val="auto"/>
                <w:sz w:val="18"/>
                <w:szCs w:val="18"/>
              </w:rPr>
            </w:pPr>
            <w:r>
              <w:rPr>
                <w:b/>
                <w:bCs/>
                <w:color w:val="000000"/>
              </w:rPr>
              <w:t xml:space="preserve">            66.93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EA8E0E9" w14:textId="72B0FC86" w:rsidR="00A5597C" w:rsidRPr="00CE1A25" w:rsidRDefault="00A5597C" w:rsidP="00A5597C">
            <w:pPr>
              <w:jc w:val="right"/>
              <w:rPr>
                <w:b/>
                <w:bCs/>
                <w:color w:val="auto"/>
                <w:sz w:val="18"/>
                <w:szCs w:val="18"/>
              </w:rPr>
            </w:pPr>
            <w:r>
              <w:rPr>
                <w:b/>
                <w:bCs/>
                <w:color w:val="000000"/>
              </w:rPr>
              <w:t xml:space="preserve">            66.93 </w:t>
            </w:r>
          </w:p>
        </w:tc>
      </w:tr>
      <w:tr w:rsidR="00A5597C" w:rsidRPr="00CE1A25" w14:paraId="568BCA7C" w14:textId="77777777" w:rsidTr="00A5597C">
        <w:trPr>
          <w:trHeight w:val="300"/>
        </w:trPr>
        <w:tc>
          <w:tcPr>
            <w:tcW w:w="4815" w:type="dxa"/>
            <w:shd w:val="clear" w:color="auto" w:fill="D9D9D9" w:themeFill="background1" w:themeFillShade="D9"/>
            <w:noWrap/>
            <w:hideMark/>
          </w:tcPr>
          <w:p w14:paraId="7E7BC967" w14:textId="77777777" w:rsidR="00A5597C" w:rsidRPr="00CE1A25" w:rsidRDefault="00A5597C" w:rsidP="00A5597C">
            <w:pPr>
              <w:rPr>
                <w:color w:val="auto"/>
                <w:sz w:val="18"/>
                <w:szCs w:val="18"/>
              </w:rPr>
            </w:pPr>
            <w:r w:rsidRPr="00CE1A25">
              <w:rPr>
                <w:color w:val="auto"/>
                <w:sz w:val="18"/>
                <w:szCs w:val="18"/>
              </w:rPr>
              <w:t>Central / Regional Management</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A6BB4" w14:textId="182D26DF" w:rsidR="00A5597C" w:rsidRPr="00CE1A25" w:rsidRDefault="00A5597C" w:rsidP="00A5597C">
            <w:pPr>
              <w:jc w:val="right"/>
              <w:rPr>
                <w:color w:val="auto"/>
                <w:sz w:val="18"/>
                <w:szCs w:val="18"/>
              </w:rPr>
            </w:pPr>
            <w:r>
              <w:rPr>
                <w:color w:val="000000"/>
              </w:rPr>
              <w:t xml:space="preserve"> 39.89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532B8D3" w14:textId="7F8195CF" w:rsidR="00A5597C" w:rsidRPr="00CE1A25" w:rsidRDefault="00A5597C" w:rsidP="00A5597C">
            <w:pPr>
              <w:jc w:val="right"/>
              <w:rPr>
                <w:color w:val="auto"/>
                <w:sz w:val="18"/>
                <w:szCs w:val="18"/>
              </w:rPr>
            </w:pPr>
            <w:r>
              <w:rPr>
                <w:color w:val="000000"/>
              </w:rPr>
              <w:t xml:space="preserve"> 39.89        (32)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5E947CD" w14:textId="757D3067" w:rsidR="00A5597C" w:rsidRPr="00CE1A25" w:rsidRDefault="00A5597C" w:rsidP="00A5597C">
            <w:pPr>
              <w:jc w:val="right"/>
              <w:rPr>
                <w:color w:val="auto"/>
                <w:sz w:val="18"/>
                <w:szCs w:val="18"/>
              </w:rPr>
            </w:pPr>
            <w:r>
              <w:rPr>
                <w:color w:val="000000"/>
              </w:rPr>
              <w:t xml:space="preserve"> 39.89        (32)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1745273" w14:textId="24C275B8" w:rsidR="00A5597C" w:rsidRPr="00CE1A25" w:rsidRDefault="00A5597C" w:rsidP="00A5597C">
            <w:pPr>
              <w:jc w:val="right"/>
              <w:rPr>
                <w:color w:val="auto"/>
                <w:sz w:val="18"/>
                <w:szCs w:val="18"/>
              </w:rPr>
            </w:pPr>
            <w:r>
              <w:rPr>
                <w:color w:val="000000"/>
              </w:rPr>
              <w:t xml:space="preserve"> 39.89        (32) </w:t>
            </w:r>
          </w:p>
        </w:tc>
      </w:tr>
      <w:tr w:rsidR="00A5597C" w:rsidRPr="00CE1A25" w14:paraId="471E5F55" w14:textId="77777777" w:rsidTr="00A5597C">
        <w:trPr>
          <w:trHeight w:val="300"/>
        </w:trPr>
        <w:tc>
          <w:tcPr>
            <w:tcW w:w="4815" w:type="dxa"/>
            <w:shd w:val="clear" w:color="auto" w:fill="D9D9D9" w:themeFill="background1" w:themeFillShade="D9"/>
            <w:noWrap/>
            <w:hideMark/>
          </w:tcPr>
          <w:p w14:paraId="4BE3E68A" w14:textId="77777777" w:rsidR="00A5597C" w:rsidRPr="00CE1A25" w:rsidRDefault="00A5597C" w:rsidP="00A5597C">
            <w:pPr>
              <w:rPr>
                <w:color w:val="auto"/>
                <w:sz w:val="18"/>
                <w:szCs w:val="18"/>
              </w:rPr>
            </w:pPr>
            <w:r w:rsidRPr="00CE1A25">
              <w:rPr>
                <w:color w:val="auto"/>
                <w:sz w:val="18"/>
                <w:szCs w:val="18"/>
              </w:rPr>
              <w:t>Support Services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020C4" w14:textId="30044EB9" w:rsidR="00A5597C" w:rsidRPr="00CE1A25" w:rsidRDefault="00A5597C" w:rsidP="00A5597C">
            <w:pPr>
              <w:jc w:val="right"/>
              <w:rPr>
                <w:color w:val="auto"/>
                <w:sz w:val="18"/>
                <w:szCs w:val="18"/>
              </w:rPr>
            </w:pPr>
            <w:r>
              <w:rPr>
                <w:color w:val="000000"/>
              </w:rPr>
              <w:t xml:space="preserve"> 17.13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2C5B081" w14:textId="0FCC3799" w:rsidR="00A5597C" w:rsidRPr="00CE1A25" w:rsidRDefault="00A5597C" w:rsidP="00A5597C">
            <w:pPr>
              <w:jc w:val="right"/>
              <w:rPr>
                <w:color w:val="auto"/>
                <w:sz w:val="18"/>
                <w:szCs w:val="18"/>
              </w:rPr>
            </w:pPr>
            <w:r>
              <w:rPr>
                <w:color w:val="000000"/>
              </w:rPr>
              <w:t xml:space="preserve"> 17.13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51132A2" w14:textId="763D5897" w:rsidR="00A5597C" w:rsidRPr="00CE1A25" w:rsidRDefault="00A5597C" w:rsidP="00A5597C">
            <w:pPr>
              <w:jc w:val="right"/>
              <w:rPr>
                <w:color w:val="auto"/>
                <w:sz w:val="18"/>
                <w:szCs w:val="18"/>
              </w:rPr>
            </w:pPr>
            <w:r>
              <w:rPr>
                <w:color w:val="000000"/>
              </w:rPr>
              <w:t xml:space="preserve"> 17.13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0FD05A21" w14:textId="0A58F6FE" w:rsidR="00A5597C" w:rsidRPr="00CE1A25" w:rsidRDefault="00A5597C" w:rsidP="00A5597C">
            <w:pPr>
              <w:jc w:val="right"/>
              <w:rPr>
                <w:color w:val="auto"/>
                <w:sz w:val="18"/>
                <w:szCs w:val="18"/>
              </w:rPr>
            </w:pPr>
            <w:r>
              <w:rPr>
                <w:color w:val="000000"/>
              </w:rPr>
              <w:t xml:space="preserve"> 17.13        (33) </w:t>
            </w:r>
          </w:p>
        </w:tc>
      </w:tr>
      <w:tr w:rsidR="00A5597C" w:rsidRPr="00CE1A25" w14:paraId="0BCE734F" w14:textId="77777777" w:rsidTr="00A5597C">
        <w:trPr>
          <w:trHeight w:val="300"/>
        </w:trPr>
        <w:tc>
          <w:tcPr>
            <w:tcW w:w="4815" w:type="dxa"/>
            <w:shd w:val="clear" w:color="auto" w:fill="D9D9D9" w:themeFill="background1" w:themeFillShade="D9"/>
            <w:noWrap/>
            <w:hideMark/>
          </w:tcPr>
          <w:p w14:paraId="733C1452" w14:textId="77777777" w:rsidR="00A5597C" w:rsidRPr="00CE1A25" w:rsidRDefault="00A5597C" w:rsidP="00A5597C">
            <w:pPr>
              <w:rPr>
                <w:color w:val="auto"/>
                <w:sz w:val="18"/>
                <w:szCs w:val="18"/>
              </w:rPr>
            </w:pPr>
            <w:r w:rsidRPr="00CE1A25">
              <w:rPr>
                <w:color w:val="auto"/>
                <w:sz w:val="18"/>
                <w:szCs w:val="18"/>
              </w:rPr>
              <w:t>Recruitment, training &amp; vetting</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482D3" w14:textId="5F6D989D" w:rsidR="00A5597C" w:rsidRPr="00CE1A25" w:rsidRDefault="00A5597C" w:rsidP="00A5597C">
            <w:pPr>
              <w:jc w:val="right"/>
              <w:rPr>
                <w:color w:val="auto"/>
                <w:sz w:val="18"/>
                <w:szCs w:val="18"/>
              </w:rPr>
            </w:pPr>
            <w:r>
              <w:rPr>
                <w:color w:val="000000"/>
              </w:rPr>
              <w:t xml:space="preserve"> 5.23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37BCE5D" w14:textId="210B3FF2" w:rsidR="00A5597C" w:rsidRPr="00CE1A25" w:rsidRDefault="00A5597C" w:rsidP="00A5597C">
            <w:pPr>
              <w:jc w:val="right"/>
              <w:rPr>
                <w:color w:val="auto"/>
                <w:sz w:val="18"/>
                <w:szCs w:val="18"/>
              </w:rPr>
            </w:pPr>
            <w:r>
              <w:rPr>
                <w:color w:val="000000"/>
              </w:rPr>
              <w:t xml:space="preserve"> 5.23        (33)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6FA8AD55" w14:textId="060E64A5" w:rsidR="00A5597C" w:rsidRPr="00CE1A25" w:rsidRDefault="00A5597C" w:rsidP="00A5597C">
            <w:pPr>
              <w:jc w:val="right"/>
              <w:rPr>
                <w:color w:val="auto"/>
                <w:sz w:val="18"/>
                <w:szCs w:val="18"/>
              </w:rPr>
            </w:pPr>
            <w:r>
              <w:rPr>
                <w:color w:val="000000"/>
              </w:rPr>
              <w:t xml:space="preserve"> 5.23        (33)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50E9748" w14:textId="012F6CA1" w:rsidR="00A5597C" w:rsidRPr="00CE1A25" w:rsidRDefault="00A5597C" w:rsidP="00A5597C">
            <w:pPr>
              <w:jc w:val="right"/>
              <w:rPr>
                <w:color w:val="auto"/>
                <w:sz w:val="18"/>
                <w:szCs w:val="18"/>
              </w:rPr>
            </w:pPr>
            <w:r>
              <w:rPr>
                <w:color w:val="000000"/>
              </w:rPr>
              <w:t xml:space="preserve"> 5.23        (33) </w:t>
            </w:r>
          </w:p>
        </w:tc>
      </w:tr>
      <w:tr w:rsidR="00A5597C" w:rsidRPr="00CE1A25" w14:paraId="48029E0E" w14:textId="77777777" w:rsidTr="00A5597C">
        <w:trPr>
          <w:trHeight w:val="300"/>
        </w:trPr>
        <w:tc>
          <w:tcPr>
            <w:tcW w:w="4815" w:type="dxa"/>
            <w:shd w:val="clear" w:color="auto" w:fill="D9D9D9" w:themeFill="background1" w:themeFillShade="D9"/>
            <w:noWrap/>
            <w:hideMark/>
          </w:tcPr>
          <w:p w14:paraId="0A2A627D" w14:textId="77777777" w:rsidR="00A5597C" w:rsidRPr="00CE1A25" w:rsidRDefault="00A5597C" w:rsidP="00A5597C">
            <w:pPr>
              <w:rPr>
                <w:color w:val="auto"/>
                <w:sz w:val="18"/>
                <w:szCs w:val="18"/>
              </w:rPr>
            </w:pPr>
            <w:r w:rsidRPr="00CE1A25">
              <w:rPr>
                <w:color w:val="auto"/>
                <w:sz w:val="18"/>
                <w:szCs w:val="18"/>
              </w:rPr>
              <w:t>Other head office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0FF26" w14:textId="70FC6982" w:rsidR="00A5597C" w:rsidRPr="00CE1A25" w:rsidRDefault="00A5597C" w:rsidP="00A5597C">
            <w:pPr>
              <w:jc w:val="right"/>
              <w:rPr>
                <w:color w:val="auto"/>
                <w:sz w:val="18"/>
                <w:szCs w:val="18"/>
              </w:rPr>
            </w:pPr>
            <w:r>
              <w:rPr>
                <w:color w:val="000000"/>
              </w:rPr>
              <w:t xml:space="preserve"> 4.68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02190EF4" w14:textId="2DA78BC7" w:rsidR="00A5597C" w:rsidRPr="00CE1A25" w:rsidRDefault="00A5597C" w:rsidP="00A5597C">
            <w:pPr>
              <w:jc w:val="right"/>
              <w:rPr>
                <w:color w:val="auto"/>
                <w:sz w:val="18"/>
                <w:szCs w:val="18"/>
              </w:rPr>
            </w:pPr>
            <w:r>
              <w:rPr>
                <w:color w:val="000000"/>
              </w:rPr>
              <w:t xml:space="preserve"> 4.68        (22)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165F5852" w14:textId="0DC9EE96" w:rsidR="00A5597C" w:rsidRPr="00CE1A25" w:rsidRDefault="00A5597C" w:rsidP="00A5597C">
            <w:pPr>
              <w:jc w:val="right"/>
              <w:rPr>
                <w:color w:val="auto"/>
                <w:sz w:val="18"/>
                <w:szCs w:val="18"/>
              </w:rPr>
            </w:pPr>
            <w:r>
              <w:rPr>
                <w:color w:val="000000"/>
              </w:rPr>
              <w:t xml:space="preserve"> 4.68        (22)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62CC05AD" w14:textId="2D672A8C" w:rsidR="00A5597C" w:rsidRPr="00CE1A25" w:rsidRDefault="00A5597C" w:rsidP="00A5597C">
            <w:pPr>
              <w:jc w:val="right"/>
              <w:rPr>
                <w:color w:val="auto"/>
                <w:sz w:val="18"/>
                <w:szCs w:val="18"/>
              </w:rPr>
            </w:pPr>
            <w:r>
              <w:rPr>
                <w:color w:val="000000"/>
              </w:rPr>
              <w:t xml:space="preserve"> 4.68        (22) </w:t>
            </w:r>
          </w:p>
        </w:tc>
      </w:tr>
      <w:tr w:rsidR="00A5597C" w:rsidRPr="00CE1A25" w14:paraId="3BA6A5A3" w14:textId="77777777" w:rsidTr="005E7FD8">
        <w:trPr>
          <w:trHeight w:val="300"/>
        </w:trPr>
        <w:tc>
          <w:tcPr>
            <w:tcW w:w="4815" w:type="dxa"/>
            <w:shd w:val="clear" w:color="auto" w:fill="D9D9D9" w:themeFill="background1" w:themeFillShade="D9"/>
            <w:noWrap/>
            <w:hideMark/>
          </w:tcPr>
          <w:p w14:paraId="2776619E" w14:textId="77777777" w:rsidR="00A5597C" w:rsidRPr="00CE1A25" w:rsidRDefault="00A5597C" w:rsidP="00A5597C">
            <w:pPr>
              <w:rPr>
                <w:b/>
                <w:bCs/>
                <w:color w:val="auto"/>
                <w:sz w:val="18"/>
                <w:szCs w:val="18"/>
              </w:rPr>
            </w:pPr>
            <w:r w:rsidRPr="00CE1A25">
              <w:rPr>
                <w:b/>
                <w:bCs/>
                <w:color w:val="auto"/>
                <w:sz w:val="18"/>
                <w:szCs w:val="18"/>
              </w:rPr>
              <w:t>Sub-total Operating Costs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BBEC6" w14:textId="1F819E82" w:rsidR="00A5597C" w:rsidRPr="00CE1A25" w:rsidRDefault="00A5597C" w:rsidP="00A5597C">
            <w:pPr>
              <w:jc w:val="right"/>
              <w:rPr>
                <w:b/>
                <w:bCs/>
                <w:color w:val="auto"/>
                <w:sz w:val="18"/>
                <w:szCs w:val="18"/>
              </w:rPr>
            </w:pPr>
            <w:r>
              <w:rPr>
                <w:b/>
                <w:bCs/>
                <w:color w:val="000000"/>
              </w:rPr>
              <w:t xml:space="preserve">          846.74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3225346" w14:textId="0D932981" w:rsidR="00A5597C" w:rsidRPr="00CE1A25" w:rsidRDefault="00A5597C" w:rsidP="00A5597C">
            <w:pPr>
              <w:jc w:val="right"/>
              <w:rPr>
                <w:b/>
                <w:bCs/>
                <w:color w:val="auto"/>
                <w:sz w:val="18"/>
                <w:szCs w:val="18"/>
              </w:rPr>
            </w:pPr>
            <w:r>
              <w:rPr>
                <w:b/>
                <w:bCs/>
                <w:color w:val="000000"/>
              </w:rPr>
              <w:t xml:space="preserve">          869.70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76E177BF" w14:textId="1DDC3BD6" w:rsidR="00A5597C" w:rsidRPr="00CE1A25" w:rsidRDefault="00A5597C" w:rsidP="00A5597C">
            <w:pPr>
              <w:jc w:val="right"/>
              <w:rPr>
                <w:b/>
                <w:bCs/>
                <w:color w:val="auto"/>
                <w:sz w:val="18"/>
                <w:szCs w:val="18"/>
              </w:rPr>
            </w:pPr>
            <w:r>
              <w:rPr>
                <w:b/>
                <w:bCs/>
                <w:color w:val="000000"/>
              </w:rPr>
              <w:t xml:space="preserve">       1,069.24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42BBD9FD" w14:textId="32010CA0" w:rsidR="00A5597C" w:rsidRPr="00CE1A25" w:rsidRDefault="00A5597C" w:rsidP="00A5597C">
            <w:pPr>
              <w:jc w:val="right"/>
              <w:rPr>
                <w:b/>
                <w:bCs/>
                <w:color w:val="auto"/>
                <w:sz w:val="18"/>
                <w:szCs w:val="18"/>
              </w:rPr>
            </w:pPr>
            <w:r>
              <w:rPr>
                <w:b/>
                <w:bCs/>
                <w:color w:val="000000"/>
              </w:rPr>
              <w:t xml:space="preserve">       1,096.85 </w:t>
            </w:r>
          </w:p>
        </w:tc>
      </w:tr>
      <w:tr w:rsidR="00A5597C" w:rsidRPr="00CE1A25" w14:paraId="159C73E4" w14:textId="77777777" w:rsidTr="00A5597C">
        <w:trPr>
          <w:trHeight w:val="350"/>
        </w:trPr>
        <w:tc>
          <w:tcPr>
            <w:tcW w:w="4815" w:type="dxa"/>
            <w:shd w:val="clear" w:color="auto" w:fill="D9D9D9" w:themeFill="background1" w:themeFillShade="D9"/>
            <w:noWrap/>
            <w:hideMark/>
          </w:tcPr>
          <w:p w14:paraId="032D392F" w14:textId="77777777" w:rsidR="00A5597C" w:rsidRPr="00CE1A25" w:rsidRDefault="00A5597C" w:rsidP="00A5597C">
            <w:pPr>
              <w:rPr>
                <w:b/>
                <w:bCs/>
                <w:color w:val="auto"/>
                <w:sz w:val="18"/>
                <w:szCs w:val="18"/>
              </w:rPr>
            </w:pPr>
            <w:r w:rsidRPr="00CE1A25">
              <w:rPr>
                <w:b/>
                <w:bCs/>
                <w:color w:val="auto"/>
                <w:sz w:val="18"/>
                <w:szCs w:val="18"/>
              </w:rPr>
              <w:t>Return on Operations</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760D1" w14:textId="6773F7DD" w:rsidR="00A5597C" w:rsidRPr="00CE1A25" w:rsidRDefault="00A5597C" w:rsidP="00A5597C">
            <w:pPr>
              <w:jc w:val="right"/>
              <w:rPr>
                <w:color w:val="auto"/>
                <w:sz w:val="18"/>
                <w:szCs w:val="18"/>
              </w:rPr>
            </w:pPr>
            <w:r>
              <w:rPr>
                <w:color w:val="000000"/>
              </w:rPr>
              <w:t xml:space="preserve">                 84.67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54A1A3A" w14:textId="705E08E1" w:rsidR="00A5597C" w:rsidRPr="00CE1A25" w:rsidRDefault="00A5597C" w:rsidP="00A5597C">
            <w:pPr>
              <w:jc w:val="right"/>
              <w:rPr>
                <w:color w:val="auto"/>
                <w:sz w:val="18"/>
                <w:szCs w:val="18"/>
              </w:rPr>
            </w:pPr>
            <w:r>
              <w:rPr>
                <w:color w:val="000000"/>
              </w:rPr>
              <w:t xml:space="preserve">                 86.97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6DD0DFE" w14:textId="038C264A" w:rsidR="00A5597C" w:rsidRPr="00CE1A25" w:rsidRDefault="00A5597C" w:rsidP="00A5597C">
            <w:pPr>
              <w:jc w:val="right"/>
              <w:rPr>
                <w:color w:val="auto"/>
                <w:sz w:val="18"/>
                <w:szCs w:val="18"/>
              </w:rPr>
            </w:pPr>
            <w:r>
              <w:rPr>
                <w:color w:val="000000"/>
              </w:rPr>
              <w:t xml:space="preserve">               106.92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296EAAD5" w14:textId="17DB1BB0" w:rsidR="00A5597C" w:rsidRPr="00CE1A25" w:rsidRDefault="00A5597C" w:rsidP="00A5597C">
            <w:pPr>
              <w:jc w:val="right"/>
              <w:rPr>
                <w:color w:val="auto"/>
                <w:sz w:val="18"/>
                <w:szCs w:val="18"/>
              </w:rPr>
            </w:pPr>
            <w:r>
              <w:rPr>
                <w:color w:val="000000"/>
              </w:rPr>
              <w:t xml:space="preserve">               109.69 </w:t>
            </w:r>
          </w:p>
        </w:tc>
      </w:tr>
      <w:tr w:rsidR="00A5597C" w:rsidRPr="00CE1A25" w14:paraId="4B2814DD" w14:textId="77777777" w:rsidTr="00A5597C">
        <w:trPr>
          <w:trHeight w:val="350"/>
        </w:trPr>
        <w:tc>
          <w:tcPr>
            <w:tcW w:w="4815" w:type="dxa"/>
            <w:shd w:val="clear" w:color="auto" w:fill="D9D9D9" w:themeFill="background1" w:themeFillShade="D9"/>
            <w:noWrap/>
            <w:hideMark/>
          </w:tcPr>
          <w:p w14:paraId="2E16A262" w14:textId="77777777" w:rsidR="00A5597C" w:rsidRPr="00CE1A25" w:rsidRDefault="00A5597C" w:rsidP="00A5597C">
            <w:pPr>
              <w:rPr>
                <w:b/>
                <w:bCs/>
                <w:color w:val="auto"/>
                <w:sz w:val="18"/>
                <w:szCs w:val="18"/>
              </w:rPr>
            </w:pPr>
            <w:r w:rsidRPr="00CE1A25">
              <w:rPr>
                <w:b/>
                <w:bCs/>
                <w:color w:val="auto"/>
                <w:sz w:val="18"/>
                <w:szCs w:val="18"/>
              </w:rPr>
              <w:t>Return on Capital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60580D" w14:textId="6B39CA18" w:rsidR="00A5597C" w:rsidRPr="00CE1A25" w:rsidRDefault="00A5597C" w:rsidP="00A5597C">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4C1ECB61" w14:textId="7762E03D" w:rsidR="00A5597C" w:rsidRPr="00CE1A25" w:rsidRDefault="00A5597C" w:rsidP="00A5597C">
            <w:pPr>
              <w:jc w:val="right"/>
              <w:rPr>
                <w:color w:val="auto"/>
                <w:sz w:val="18"/>
                <w:szCs w:val="18"/>
              </w:rPr>
            </w:pPr>
            <w:r>
              <w:rPr>
                <w:color w:val="000000"/>
              </w:rPr>
              <w:t xml:space="preserve">                 68.55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546D2E37" w14:textId="179F5430" w:rsidR="00A5597C" w:rsidRPr="00CE1A25" w:rsidRDefault="00A5597C" w:rsidP="00A5597C">
            <w:pPr>
              <w:jc w:val="right"/>
              <w:rPr>
                <w:color w:val="auto"/>
                <w:sz w:val="18"/>
                <w:szCs w:val="18"/>
              </w:rPr>
            </w:pPr>
            <w:r>
              <w:rPr>
                <w:color w:val="000000"/>
              </w:rPr>
              <w:t xml:space="preserve">                 68.55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7B92D5FC" w14:textId="3F58BF6E" w:rsidR="00A5597C" w:rsidRPr="00CE1A25" w:rsidRDefault="00A5597C" w:rsidP="00A5597C">
            <w:pPr>
              <w:jc w:val="right"/>
              <w:rPr>
                <w:color w:val="auto"/>
                <w:sz w:val="18"/>
                <w:szCs w:val="18"/>
              </w:rPr>
            </w:pPr>
            <w:r>
              <w:rPr>
                <w:color w:val="000000"/>
              </w:rPr>
              <w:t xml:space="preserve">                 68.55 </w:t>
            </w:r>
          </w:p>
        </w:tc>
      </w:tr>
      <w:tr w:rsidR="00A5597C" w:rsidRPr="00CE1A25" w14:paraId="1391C129" w14:textId="77777777" w:rsidTr="00A5597C">
        <w:trPr>
          <w:trHeight w:val="350"/>
        </w:trPr>
        <w:tc>
          <w:tcPr>
            <w:tcW w:w="4815" w:type="dxa"/>
            <w:shd w:val="clear" w:color="auto" w:fill="D9D9D9" w:themeFill="background1" w:themeFillShade="D9"/>
            <w:noWrap/>
            <w:hideMark/>
          </w:tcPr>
          <w:p w14:paraId="5BB546EA" w14:textId="77777777" w:rsidR="00A5597C" w:rsidRPr="00CE1A25" w:rsidRDefault="00A5597C" w:rsidP="00A5597C">
            <w:pPr>
              <w:rPr>
                <w:b/>
                <w:bCs/>
                <w:color w:val="auto"/>
                <w:sz w:val="18"/>
                <w:szCs w:val="18"/>
              </w:rPr>
            </w:pPr>
            <w:r w:rsidRPr="00CE1A25">
              <w:rPr>
                <w:b/>
                <w:bCs/>
                <w:color w:val="auto"/>
                <w:sz w:val="18"/>
                <w:szCs w:val="18"/>
              </w:rPr>
              <w:t>Total</w:t>
            </w:r>
          </w:p>
        </w:tc>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E56AC" w14:textId="101459D0" w:rsidR="00A5597C" w:rsidRPr="00CE1A25" w:rsidRDefault="00A5597C" w:rsidP="00A5597C">
            <w:pPr>
              <w:jc w:val="right"/>
              <w:rPr>
                <w:color w:val="auto"/>
                <w:sz w:val="18"/>
                <w:szCs w:val="18"/>
              </w:rPr>
            </w:pPr>
            <w:r>
              <w:rPr>
                <w:b/>
                <w:bCs/>
                <w:color w:val="000000"/>
              </w:rPr>
              <w:t xml:space="preserve">          999.97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7FFF242" w14:textId="0D7EAA80" w:rsidR="00A5597C" w:rsidRPr="00CE1A25" w:rsidRDefault="00A5597C" w:rsidP="00A5597C">
            <w:pPr>
              <w:jc w:val="right"/>
              <w:rPr>
                <w:color w:val="auto"/>
                <w:sz w:val="18"/>
                <w:szCs w:val="18"/>
              </w:rPr>
            </w:pPr>
            <w:r>
              <w:rPr>
                <w:b/>
                <w:bCs/>
                <w:color w:val="000000"/>
              </w:rPr>
              <w:t xml:space="preserve">       1,025.22 </w:t>
            </w:r>
          </w:p>
        </w:tc>
        <w:tc>
          <w:tcPr>
            <w:tcW w:w="2283" w:type="dxa"/>
            <w:tcBorders>
              <w:top w:val="single" w:sz="4" w:space="0" w:color="auto"/>
              <w:left w:val="nil"/>
              <w:bottom w:val="single" w:sz="4" w:space="0" w:color="auto"/>
              <w:right w:val="single" w:sz="4" w:space="0" w:color="auto"/>
            </w:tcBorders>
            <w:shd w:val="clear" w:color="auto" w:fill="auto"/>
            <w:noWrap/>
            <w:vAlign w:val="bottom"/>
          </w:tcPr>
          <w:p w14:paraId="20FD856D" w14:textId="25A0A2C9" w:rsidR="00A5597C" w:rsidRPr="00CE1A25" w:rsidRDefault="00A5597C" w:rsidP="00A5597C">
            <w:pPr>
              <w:jc w:val="right"/>
              <w:rPr>
                <w:color w:val="auto"/>
                <w:sz w:val="18"/>
                <w:szCs w:val="18"/>
              </w:rPr>
            </w:pPr>
            <w:r>
              <w:rPr>
                <w:b/>
                <w:bCs/>
                <w:color w:val="000000"/>
              </w:rPr>
              <w:t xml:space="preserve">       1,244.72 </w:t>
            </w:r>
          </w:p>
        </w:tc>
        <w:tc>
          <w:tcPr>
            <w:tcW w:w="2284" w:type="dxa"/>
            <w:tcBorders>
              <w:top w:val="single" w:sz="4" w:space="0" w:color="auto"/>
              <w:left w:val="nil"/>
              <w:bottom w:val="single" w:sz="4" w:space="0" w:color="auto"/>
              <w:right w:val="single" w:sz="4" w:space="0" w:color="auto"/>
            </w:tcBorders>
            <w:shd w:val="clear" w:color="auto" w:fill="auto"/>
            <w:noWrap/>
            <w:vAlign w:val="bottom"/>
          </w:tcPr>
          <w:p w14:paraId="38F469F5" w14:textId="56624C7F" w:rsidR="00A5597C" w:rsidRPr="00CE1A25" w:rsidRDefault="00A5597C" w:rsidP="00A5597C">
            <w:pPr>
              <w:jc w:val="right"/>
              <w:rPr>
                <w:color w:val="auto"/>
                <w:sz w:val="18"/>
                <w:szCs w:val="18"/>
              </w:rPr>
            </w:pPr>
            <w:r>
              <w:rPr>
                <w:b/>
                <w:bCs/>
                <w:color w:val="000000"/>
              </w:rPr>
              <w:t xml:space="preserve">       1,275.09 </w:t>
            </w:r>
          </w:p>
        </w:tc>
      </w:tr>
    </w:tbl>
    <w:p w14:paraId="696AE69B" w14:textId="77777777" w:rsidR="00FD122B" w:rsidRDefault="00FD122B" w:rsidP="00987C89">
      <w:pPr>
        <w:spacing w:after="0" w:line="280" w:lineRule="exact"/>
        <w:jc w:val="both"/>
        <w:rPr>
          <w:color w:val="auto"/>
        </w:rPr>
      </w:pPr>
    </w:p>
    <w:p w14:paraId="79DDD71E" w14:textId="21786D3C" w:rsidR="00FD122B" w:rsidRDefault="00FD122B" w:rsidP="00987C89">
      <w:pPr>
        <w:spacing w:after="0" w:line="280" w:lineRule="exact"/>
        <w:jc w:val="both"/>
        <w:rPr>
          <w:color w:val="auto"/>
        </w:rPr>
      </w:pPr>
    </w:p>
    <w:p w14:paraId="24036519" w14:textId="314A42CE" w:rsidR="00A5597C" w:rsidRDefault="00A5597C" w:rsidP="00987C89">
      <w:pPr>
        <w:spacing w:after="0" w:line="280" w:lineRule="exact"/>
        <w:jc w:val="both"/>
        <w:rPr>
          <w:color w:val="auto"/>
        </w:rPr>
      </w:pPr>
    </w:p>
    <w:p w14:paraId="08F1A0B2" w14:textId="1F88B051" w:rsidR="00A5597C" w:rsidRDefault="00A5597C" w:rsidP="00987C89">
      <w:pPr>
        <w:spacing w:after="0" w:line="280" w:lineRule="exact"/>
        <w:jc w:val="both"/>
        <w:rPr>
          <w:color w:val="auto"/>
        </w:rPr>
      </w:pPr>
    </w:p>
    <w:p w14:paraId="59E0E060" w14:textId="58B51B0D" w:rsidR="00A5597C" w:rsidRDefault="00A5597C" w:rsidP="00987C89">
      <w:pPr>
        <w:spacing w:after="0" w:line="280" w:lineRule="exact"/>
        <w:jc w:val="both"/>
        <w:rPr>
          <w:color w:val="auto"/>
        </w:rPr>
      </w:pPr>
    </w:p>
    <w:p w14:paraId="36DBABBF" w14:textId="77777777" w:rsidR="00A5597C" w:rsidRPr="00CE1A25" w:rsidRDefault="00A5597C" w:rsidP="00987C89">
      <w:pPr>
        <w:spacing w:after="0" w:line="280" w:lineRule="exact"/>
        <w:jc w:val="both"/>
        <w:rPr>
          <w:color w:val="auto"/>
        </w:rPr>
      </w:pPr>
    </w:p>
    <w:p w14:paraId="0E9B35B4" w14:textId="6E277B3A" w:rsidR="00131FE0" w:rsidRPr="00CE1A25" w:rsidRDefault="00131FE0" w:rsidP="00AC57EE">
      <w:pPr>
        <w:pStyle w:val="Heading2"/>
      </w:pPr>
      <w:bookmarkStart w:id="35" w:name="_Toc116555560"/>
      <w:r w:rsidRPr="00CE1A25">
        <w:lastRenderedPageBreak/>
        <w:t>2.</w:t>
      </w:r>
      <w:r w:rsidR="0012479E" w:rsidRPr="00CE1A25">
        <w:t>1</w:t>
      </w:r>
      <w:r w:rsidR="00DE302D" w:rsidRPr="00CE1A25">
        <w:t>1</w:t>
      </w:r>
      <w:r w:rsidRPr="00CE1A25">
        <w:t xml:space="preserve"> Sensitivity </w:t>
      </w:r>
      <w:r w:rsidRPr="00AC57EE">
        <w:t>analysis</w:t>
      </w:r>
      <w:bookmarkEnd w:id="35"/>
    </w:p>
    <w:p w14:paraId="753FADC4" w14:textId="77777777" w:rsidR="00131FE0" w:rsidRPr="00CE1A25" w:rsidRDefault="00131FE0" w:rsidP="00131FE0">
      <w:pPr>
        <w:spacing w:after="0" w:line="280" w:lineRule="exact"/>
        <w:jc w:val="both"/>
        <w:rPr>
          <w:color w:val="auto"/>
        </w:rPr>
      </w:pPr>
    </w:p>
    <w:p w14:paraId="43921872" w14:textId="77777777" w:rsidR="0008203B" w:rsidRPr="00CE1A25" w:rsidRDefault="00131FE0" w:rsidP="00131FE0">
      <w:pPr>
        <w:spacing w:after="0" w:line="280" w:lineRule="exact"/>
        <w:jc w:val="both"/>
        <w:rPr>
          <w:color w:val="auto"/>
        </w:rPr>
      </w:pPr>
      <w:bookmarkStart w:id="36" w:name="_Hlk114504495"/>
      <w:r w:rsidRPr="00CE1A25">
        <w:rPr>
          <w:color w:val="auto"/>
        </w:rPr>
        <w:t xml:space="preserve">The </w:t>
      </w:r>
      <w:r w:rsidR="00816449" w:rsidRPr="00CE1A25">
        <w:rPr>
          <w:color w:val="auto"/>
        </w:rPr>
        <w:t>median total costs</w:t>
      </w:r>
      <w:r w:rsidRPr="00CE1A25">
        <w:rPr>
          <w:color w:val="auto"/>
        </w:rPr>
        <w:t xml:space="preserve"> set out in Table</w:t>
      </w:r>
      <w:r w:rsidR="00816449" w:rsidRPr="00CE1A25">
        <w:rPr>
          <w:color w:val="auto"/>
        </w:rPr>
        <w:t xml:space="preserve"> 4</w:t>
      </w:r>
      <w:r w:rsidRPr="00CE1A25">
        <w:rPr>
          <w:color w:val="auto"/>
        </w:rPr>
        <w:t xml:space="preserve"> are sensitive to </w:t>
      </w:r>
      <w:r w:rsidR="0008203B" w:rsidRPr="00CE1A25">
        <w:rPr>
          <w:color w:val="auto"/>
        </w:rPr>
        <w:t>the following factors:</w:t>
      </w:r>
    </w:p>
    <w:p w14:paraId="35A2A3FF" w14:textId="77777777" w:rsidR="0008203B" w:rsidRPr="00CE1A25" w:rsidRDefault="0008203B" w:rsidP="00131FE0">
      <w:pPr>
        <w:spacing w:after="0" w:line="280" w:lineRule="exact"/>
        <w:jc w:val="both"/>
        <w:rPr>
          <w:color w:val="auto"/>
        </w:rPr>
      </w:pPr>
    </w:p>
    <w:p w14:paraId="59A54C91" w14:textId="4BE6D801" w:rsidR="0008203B" w:rsidRPr="00CE1A25" w:rsidRDefault="0008203B" w:rsidP="0008203B">
      <w:pPr>
        <w:pStyle w:val="ListParagraph"/>
        <w:numPr>
          <w:ilvl w:val="0"/>
          <w:numId w:val="20"/>
        </w:numPr>
        <w:spacing w:line="280" w:lineRule="exact"/>
        <w:jc w:val="both"/>
        <w:rPr>
          <w:color w:val="auto"/>
        </w:rPr>
      </w:pPr>
      <w:r w:rsidRPr="00CE1A25">
        <w:rPr>
          <w:color w:val="auto"/>
        </w:rPr>
        <w:t xml:space="preserve">The </w:t>
      </w:r>
      <w:r w:rsidR="00406872" w:rsidRPr="00CE1A25">
        <w:rPr>
          <w:color w:val="auto"/>
        </w:rPr>
        <w:t>efficacy of the validation process in eliminating implausible and incorrect toolkit submissions for individual cost lines. We believe that the validation process, as described in Section 2.5</w:t>
      </w:r>
      <w:r w:rsidR="00554E8B" w:rsidRPr="00CE1A25">
        <w:rPr>
          <w:color w:val="auto"/>
        </w:rPr>
        <w:t>,</w:t>
      </w:r>
      <w:r w:rsidR="00406872" w:rsidRPr="00CE1A25">
        <w:rPr>
          <w:color w:val="auto"/>
        </w:rPr>
        <w:t xml:space="preserve"> was effective;</w:t>
      </w:r>
    </w:p>
    <w:p w14:paraId="636C9ECC" w14:textId="77777777" w:rsidR="008C0F97" w:rsidRPr="00CE1A25" w:rsidRDefault="008C0F97" w:rsidP="008C0F97">
      <w:pPr>
        <w:pStyle w:val="ListParagraph"/>
        <w:spacing w:line="280" w:lineRule="exact"/>
        <w:jc w:val="both"/>
        <w:rPr>
          <w:color w:val="auto"/>
        </w:rPr>
      </w:pPr>
    </w:p>
    <w:p w14:paraId="537DC76E" w14:textId="447F65E3" w:rsidR="00406872" w:rsidRPr="00CE1A25" w:rsidRDefault="00406872" w:rsidP="0008203B">
      <w:pPr>
        <w:pStyle w:val="ListParagraph"/>
        <w:numPr>
          <w:ilvl w:val="0"/>
          <w:numId w:val="20"/>
        </w:numPr>
        <w:spacing w:line="280" w:lineRule="exact"/>
        <w:jc w:val="both"/>
        <w:rPr>
          <w:color w:val="auto"/>
        </w:rPr>
      </w:pPr>
      <w:r w:rsidRPr="00CE1A25">
        <w:rPr>
          <w:color w:val="auto"/>
        </w:rPr>
        <w:t xml:space="preserve">The validity of the rules adopted for elimination of outliers before calculating the medians for each cost line. Outlier exclusion was </w:t>
      </w:r>
      <w:r w:rsidR="00D22FFC" w:rsidRPr="00CE1A25">
        <w:rPr>
          <w:color w:val="auto"/>
        </w:rPr>
        <w:t>limited</w:t>
      </w:r>
      <w:r w:rsidRPr="00CE1A25">
        <w:rPr>
          <w:color w:val="auto"/>
        </w:rPr>
        <w:t xml:space="preserve"> and we believe the rules adopted, as described in Section 2.6</w:t>
      </w:r>
      <w:r w:rsidR="00D22FFC" w:rsidRPr="00CE1A25">
        <w:rPr>
          <w:color w:val="auto"/>
        </w:rPr>
        <w:t>,</w:t>
      </w:r>
      <w:r w:rsidRPr="00CE1A25">
        <w:rPr>
          <w:color w:val="auto"/>
        </w:rPr>
        <w:t xml:space="preserve"> were appropriate;</w:t>
      </w:r>
    </w:p>
    <w:p w14:paraId="7B31A65C" w14:textId="77777777" w:rsidR="008C0F97" w:rsidRPr="00CE1A25" w:rsidRDefault="008C0F97" w:rsidP="008C0F97">
      <w:pPr>
        <w:pStyle w:val="ListParagraph"/>
        <w:rPr>
          <w:color w:val="auto"/>
        </w:rPr>
      </w:pPr>
    </w:p>
    <w:p w14:paraId="11C9864B" w14:textId="42CF1848" w:rsidR="008C0F97" w:rsidRPr="00CE1A25" w:rsidRDefault="008C0F97" w:rsidP="008C0F97">
      <w:pPr>
        <w:pStyle w:val="ListParagraph"/>
        <w:numPr>
          <w:ilvl w:val="0"/>
          <w:numId w:val="20"/>
        </w:numPr>
        <w:spacing w:line="280" w:lineRule="exact"/>
        <w:jc w:val="both"/>
        <w:rPr>
          <w:color w:val="auto"/>
        </w:rPr>
      </w:pPr>
      <w:r w:rsidRPr="00CE1A25">
        <w:rPr>
          <w:color w:val="auto"/>
        </w:rPr>
        <w:t>The return on capital and return on operations benchmarks. The values which have been adopted are set out in Section 2.9 and the evidence is presented in Appendix 1;</w:t>
      </w:r>
    </w:p>
    <w:p w14:paraId="19684BC2" w14:textId="77777777" w:rsidR="008C0F97" w:rsidRPr="00CE1A25" w:rsidRDefault="008C0F97" w:rsidP="00406872">
      <w:pPr>
        <w:pStyle w:val="ListParagraph"/>
        <w:rPr>
          <w:color w:val="auto"/>
        </w:rPr>
      </w:pPr>
    </w:p>
    <w:p w14:paraId="145A3C83" w14:textId="6A3D15EF" w:rsidR="00406872" w:rsidRPr="00CE1A25" w:rsidRDefault="00F777D9" w:rsidP="0008203B">
      <w:pPr>
        <w:pStyle w:val="ListParagraph"/>
        <w:numPr>
          <w:ilvl w:val="0"/>
          <w:numId w:val="20"/>
        </w:numPr>
        <w:spacing w:line="280" w:lineRule="exact"/>
        <w:jc w:val="both"/>
        <w:rPr>
          <w:color w:val="auto"/>
        </w:rPr>
      </w:pPr>
      <w:r w:rsidRPr="00CE1A25">
        <w:rPr>
          <w:color w:val="auto"/>
        </w:rPr>
        <w:t>Calculation of capital cost per occupied bed</w:t>
      </w:r>
      <w:r w:rsidR="00D22FFC" w:rsidRPr="00CE1A25">
        <w:rPr>
          <w:color w:val="auto"/>
        </w:rPr>
        <w:t>, to which the return on capital benchmark is applied</w:t>
      </w:r>
      <w:r w:rsidRPr="00CE1A25">
        <w:rPr>
          <w:color w:val="auto"/>
        </w:rPr>
        <w:t>, see Section 2.11.1</w:t>
      </w:r>
    </w:p>
    <w:p w14:paraId="7D21028F" w14:textId="77777777" w:rsidR="00F777D9" w:rsidRPr="00CE1A25" w:rsidRDefault="00F777D9" w:rsidP="00F777D9">
      <w:pPr>
        <w:pStyle w:val="ListParagraph"/>
        <w:rPr>
          <w:color w:val="auto"/>
        </w:rPr>
      </w:pPr>
    </w:p>
    <w:p w14:paraId="4371BB08" w14:textId="5580FC28" w:rsidR="00F777D9" w:rsidRPr="00CE1A25" w:rsidRDefault="00F777D9" w:rsidP="0008203B">
      <w:pPr>
        <w:pStyle w:val="ListParagraph"/>
        <w:numPr>
          <w:ilvl w:val="0"/>
          <w:numId w:val="20"/>
        </w:numPr>
        <w:spacing w:line="280" w:lineRule="exact"/>
        <w:jc w:val="both"/>
        <w:rPr>
          <w:color w:val="auto"/>
        </w:rPr>
      </w:pPr>
      <w:r w:rsidRPr="00CE1A25">
        <w:rPr>
          <w:color w:val="auto"/>
        </w:rPr>
        <w:t>Adjustment for occupancy, if any, see Section 2.11.2</w:t>
      </w:r>
    </w:p>
    <w:p w14:paraId="1CF68674" w14:textId="77777777" w:rsidR="00F777D9" w:rsidRPr="00CE1A25" w:rsidRDefault="00F777D9" w:rsidP="00F777D9">
      <w:pPr>
        <w:pStyle w:val="ListParagraph"/>
        <w:rPr>
          <w:color w:val="auto"/>
        </w:rPr>
      </w:pPr>
    </w:p>
    <w:p w14:paraId="505661E6" w14:textId="1C4A51B9" w:rsidR="00F777D9" w:rsidRPr="00CE1A25" w:rsidRDefault="00F777D9" w:rsidP="0008203B">
      <w:pPr>
        <w:pStyle w:val="ListParagraph"/>
        <w:numPr>
          <w:ilvl w:val="0"/>
          <w:numId w:val="20"/>
        </w:numPr>
        <w:spacing w:line="280" w:lineRule="exact"/>
        <w:jc w:val="both"/>
        <w:rPr>
          <w:color w:val="auto"/>
        </w:rPr>
      </w:pPr>
      <w:r w:rsidRPr="00CE1A25">
        <w:rPr>
          <w:color w:val="auto"/>
        </w:rPr>
        <w:t xml:space="preserve">The approach to calculating confidence intervals for the </w:t>
      </w:r>
      <w:r w:rsidR="00BA513F" w:rsidRPr="00CE1A25">
        <w:rPr>
          <w:color w:val="auto"/>
        </w:rPr>
        <w:t>median total costs, see Section 2.1</w:t>
      </w:r>
      <w:r w:rsidR="005E452B" w:rsidRPr="00CE1A25">
        <w:rPr>
          <w:color w:val="auto"/>
        </w:rPr>
        <w:t>2</w:t>
      </w:r>
    </w:p>
    <w:p w14:paraId="4A83A913" w14:textId="77777777" w:rsidR="00F777D9" w:rsidRPr="00CE1A25" w:rsidRDefault="00F777D9" w:rsidP="00F777D9">
      <w:pPr>
        <w:pStyle w:val="ListParagraph"/>
        <w:rPr>
          <w:color w:val="auto"/>
        </w:rPr>
      </w:pPr>
    </w:p>
    <w:p w14:paraId="7BD8E2D9" w14:textId="22B3169C" w:rsidR="00F777D9" w:rsidRPr="00CE1A25" w:rsidRDefault="00BA513F" w:rsidP="005E452B">
      <w:pPr>
        <w:pStyle w:val="ListParagraph"/>
        <w:numPr>
          <w:ilvl w:val="0"/>
          <w:numId w:val="20"/>
        </w:numPr>
        <w:spacing w:line="280" w:lineRule="exact"/>
        <w:jc w:val="both"/>
        <w:rPr>
          <w:color w:val="auto"/>
        </w:rPr>
      </w:pPr>
      <w:r w:rsidRPr="00CE1A25">
        <w:rPr>
          <w:color w:val="auto"/>
        </w:rPr>
        <w:t>Special local factors, if any</w:t>
      </w:r>
      <w:r w:rsidR="005E452B" w:rsidRPr="00CE1A25">
        <w:rPr>
          <w:color w:val="auto"/>
        </w:rPr>
        <w:t>, see Section 2.13</w:t>
      </w:r>
      <w:r w:rsidRPr="00CE1A25">
        <w:rPr>
          <w:color w:val="auto"/>
        </w:rPr>
        <w:t>.</w:t>
      </w:r>
    </w:p>
    <w:bookmarkEnd w:id="36"/>
    <w:p w14:paraId="6BD060B3" w14:textId="77777777" w:rsidR="00131FE0" w:rsidRDefault="00131FE0" w:rsidP="00131FE0">
      <w:pPr>
        <w:spacing w:after="0" w:line="280" w:lineRule="exact"/>
        <w:jc w:val="both"/>
      </w:pPr>
    </w:p>
    <w:p w14:paraId="341AA3B8" w14:textId="0E361B69" w:rsidR="00131FE0" w:rsidRDefault="00131FE0" w:rsidP="00131FE0">
      <w:pPr>
        <w:pStyle w:val="Heading3"/>
      </w:pPr>
      <w:bookmarkStart w:id="37" w:name="_Toc116555561"/>
      <w:r>
        <w:t>2.</w:t>
      </w:r>
      <w:r w:rsidR="0012479E">
        <w:t>1</w:t>
      </w:r>
      <w:r w:rsidR="00DE302D">
        <w:t>1</w:t>
      </w:r>
      <w:r>
        <w:t>.1 Sensitivity to capital cost per occupied bed</w:t>
      </w:r>
      <w:bookmarkEnd w:id="37"/>
    </w:p>
    <w:p w14:paraId="7D07AADF" w14:textId="77777777" w:rsidR="00131FE0" w:rsidRDefault="00131FE0" w:rsidP="00131FE0">
      <w:pPr>
        <w:spacing w:after="0" w:line="280" w:lineRule="exact"/>
        <w:jc w:val="both"/>
      </w:pPr>
    </w:p>
    <w:p w14:paraId="2A3335D5" w14:textId="0C6061B3" w:rsidR="00131FE0" w:rsidRPr="00CE1A25" w:rsidRDefault="00131FE0" w:rsidP="004C7B11">
      <w:pPr>
        <w:spacing w:after="0" w:line="280" w:lineRule="exact"/>
        <w:jc w:val="both"/>
        <w:rPr>
          <w:color w:val="auto"/>
        </w:rPr>
      </w:pPr>
      <w:r w:rsidRPr="00CE1A25">
        <w:rPr>
          <w:color w:val="auto"/>
        </w:rPr>
        <w:t xml:space="preserve">Actual values of capital costs per occupied bed </w:t>
      </w:r>
      <w:r w:rsidR="00984265" w:rsidRPr="00CE1A25">
        <w:rPr>
          <w:color w:val="auto"/>
        </w:rPr>
        <w:t>are</w:t>
      </w:r>
      <w:r w:rsidRPr="00CE1A25">
        <w:rPr>
          <w:color w:val="auto"/>
        </w:rPr>
        <w:t xml:space="preserve"> calculated from the toolkits as freehold valuation divided by number of residents. In some cases, particularly in affluent areas where developers have targeted the private pay market in recent years, land and build costs for high specification homes may be considerably greater than the council is reasonably willing to pay for a standard physical environment for council placements. For the purpose of determining a fair cost of care, therefore, councils may reasonably wish to supersede the freehold valuations per occupied bed reported in toolkits with a suitable benchmark value.</w:t>
      </w:r>
    </w:p>
    <w:p w14:paraId="09A4F9EF" w14:textId="77777777" w:rsidR="00131FE0" w:rsidRPr="00CE1A25" w:rsidRDefault="00131FE0" w:rsidP="004C7B11">
      <w:pPr>
        <w:spacing w:after="0" w:line="280" w:lineRule="exact"/>
        <w:jc w:val="both"/>
        <w:rPr>
          <w:color w:val="auto"/>
        </w:rPr>
      </w:pPr>
    </w:p>
    <w:p w14:paraId="1914F93A" w14:textId="6CA36E16" w:rsidR="00131FE0" w:rsidRPr="00CE1A25" w:rsidRDefault="00131FE0" w:rsidP="004C7B11">
      <w:pPr>
        <w:spacing w:after="0" w:line="280" w:lineRule="exact"/>
        <w:jc w:val="both"/>
        <w:rPr>
          <w:color w:val="auto"/>
        </w:rPr>
      </w:pPr>
      <w:r w:rsidRPr="00CE1A25">
        <w:rPr>
          <w:color w:val="auto"/>
        </w:rPr>
        <w:t xml:space="preserve">LaingBuisson has addressed this issue in its </w:t>
      </w:r>
      <w:r w:rsidRPr="00CE1A25">
        <w:rPr>
          <w:i/>
          <w:iCs/>
          <w:color w:val="auto"/>
        </w:rPr>
        <w:t>Care Cost Benchmarks</w:t>
      </w:r>
      <w:r w:rsidRPr="00CE1A25">
        <w:rPr>
          <w:color w:val="auto"/>
        </w:rPr>
        <w:t xml:space="preserve"> model by gathering evidence on the cost of developing a new-build care home constructed to a standard specification in an area of moderate land costs. The projected (national) land and build cost </w:t>
      </w:r>
      <w:r w:rsidR="0024537A" w:rsidRPr="00CE1A25">
        <w:rPr>
          <w:color w:val="auto"/>
        </w:rPr>
        <w:t>at</w:t>
      </w:r>
      <w:r w:rsidRPr="00CE1A25">
        <w:rPr>
          <w:color w:val="auto"/>
        </w:rPr>
        <w:t xml:space="preserve"> </w:t>
      </w:r>
      <w:r w:rsidR="001A4BA4" w:rsidRPr="00CE1A25">
        <w:rPr>
          <w:color w:val="auto"/>
        </w:rPr>
        <w:t xml:space="preserve">April </w:t>
      </w:r>
      <w:r w:rsidRPr="00CE1A25">
        <w:rPr>
          <w:color w:val="auto"/>
        </w:rPr>
        <w:t>2022 is calculated at £1</w:t>
      </w:r>
      <w:r w:rsidR="001A4BA4" w:rsidRPr="00CE1A25">
        <w:rPr>
          <w:color w:val="auto"/>
        </w:rPr>
        <w:t>10</w:t>
      </w:r>
      <w:r w:rsidRPr="00CE1A25">
        <w:rPr>
          <w:color w:val="auto"/>
        </w:rPr>
        <w:t xml:space="preserve">,000 per </w:t>
      </w:r>
      <w:r w:rsidR="001A4BA4" w:rsidRPr="00CE1A25">
        <w:rPr>
          <w:color w:val="auto"/>
        </w:rPr>
        <w:t>registered</w:t>
      </w:r>
      <w:r w:rsidRPr="00CE1A25">
        <w:rPr>
          <w:color w:val="auto"/>
        </w:rPr>
        <w:t xml:space="preserve"> bed </w:t>
      </w:r>
      <w:r w:rsidR="001A4BA4" w:rsidRPr="00CE1A25">
        <w:rPr>
          <w:color w:val="auto"/>
        </w:rPr>
        <w:t xml:space="preserve">(equivalent to £122,000 per occupied bed </w:t>
      </w:r>
      <w:r w:rsidRPr="00CE1A25">
        <w:rPr>
          <w:color w:val="auto"/>
        </w:rPr>
        <w:t>at 90% occupancy</w:t>
      </w:r>
      <w:r w:rsidR="001A4BA4" w:rsidRPr="00CE1A25">
        <w:rPr>
          <w:color w:val="auto"/>
        </w:rPr>
        <w:t>)</w:t>
      </w:r>
      <w:r w:rsidRPr="00CE1A25">
        <w:rPr>
          <w:color w:val="auto"/>
        </w:rPr>
        <w:t xml:space="preserve">. This is viewed as the </w:t>
      </w:r>
      <w:r w:rsidRPr="00CE1A25">
        <w:rPr>
          <w:b/>
          <w:bCs/>
          <w:color w:val="auto"/>
        </w:rPr>
        <w:t>ceiling</w:t>
      </w:r>
      <w:r w:rsidRPr="00CE1A25">
        <w:rPr>
          <w:color w:val="auto"/>
        </w:rPr>
        <w:t xml:space="preserve"> asset value that councils may </w:t>
      </w:r>
      <w:r w:rsidRPr="00CE1A25">
        <w:rPr>
          <w:color w:val="auto"/>
        </w:rPr>
        <w:lastRenderedPageBreak/>
        <w:t xml:space="preserve">wish to fund in order to incentivise the development of new capacity. The </w:t>
      </w:r>
      <w:r w:rsidRPr="00CE1A25">
        <w:rPr>
          <w:b/>
          <w:bCs/>
          <w:color w:val="auto"/>
        </w:rPr>
        <w:t>floor</w:t>
      </w:r>
      <w:r w:rsidRPr="00CE1A25">
        <w:rPr>
          <w:color w:val="auto"/>
        </w:rPr>
        <w:t xml:space="preserve"> asset value, according to the </w:t>
      </w:r>
      <w:r w:rsidRPr="00CE1A25">
        <w:rPr>
          <w:i/>
          <w:iCs/>
          <w:color w:val="auto"/>
        </w:rPr>
        <w:t>Care Cost Benchmarks</w:t>
      </w:r>
      <w:r w:rsidRPr="00CE1A25">
        <w:rPr>
          <w:color w:val="auto"/>
        </w:rPr>
        <w:t xml:space="preserve"> model, is approximately £30,000 per bed, representing converted care home stock on the borderline of registrable quality. Assuming an even spread of stock between the floor and ceiling, in line with the national balance </w:t>
      </w:r>
      <w:r w:rsidR="002A668F" w:rsidRPr="00CE1A25">
        <w:rPr>
          <w:color w:val="auto"/>
        </w:rPr>
        <w:t xml:space="preserve">between </w:t>
      </w:r>
      <w:r w:rsidRPr="00CE1A25">
        <w:rPr>
          <w:color w:val="auto"/>
        </w:rPr>
        <w:t>converted and new build</w:t>
      </w:r>
      <w:r w:rsidR="002A668F" w:rsidRPr="00CE1A25">
        <w:rPr>
          <w:color w:val="auto"/>
        </w:rPr>
        <w:t xml:space="preserve"> stock</w:t>
      </w:r>
      <w:r w:rsidRPr="00CE1A25">
        <w:rPr>
          <w:color w:val="auto"/>
        </w:rPr>
        <w:t>, the average capital value is a</w:t>
      </w:r>
      <w:r w:rsidR="00C01E19" w:rsidRPr="00CE1A25">
        <w:rPr>
          <w:color w:val="auto"/>
        </w:rPr>
        <w:t>bout £70,000 per registered bed (</w:t>
      </w:r>
      <w:r w:rsidRPr="00CE1A25">
        <w:rPr>
          <w:color w:val="auto"/>
        </w:rPr>
        <w:t>£</w:t>
      </w:r>
      <w:r w:rsidR="00C01E19" w:rsidRPr="00CE1A25">
        <w:rPr>
          <w:color w:val="auto"/>
        </w:rPr>
        <w:t>78,</w:t>
      </w:r>
      <w:r w:rsidRPr="00CE1A25">
        <w:rPr>
          <w:color w:val="auto"/>
        </w:rPr>
        <w:t xml:space="preserve">000 </w:t>
      </w:r>
      <w:r w:rsidR="00C01E19" w:rsidRPr="00CE1A25">
        <w:rPr>
          <w:color w:val="auto"/>
        </w:rPr>
        <w:t xml:space="preserve">per occupied bed) </w:t>
      </w:r>
      <w:r w:rsidRPr="00CE1A25">
        <w:rPr>
          <w:color w:val="auto"/>
        </w:rPr>
        <w:t>nationally. This is a benchmark that may be suitable for a council which seeks to support existing capacity sustainably, but not incentivise new care home capacity.</w:t>
      </w:r>
    </w:p>
    <w:p w14:paraId="2F40908D" w14:textId="149A64B7" w:rsidR="004C7B11" w:rsidRPr="00CE1A25" w:rsidRDefault="004C7B11" w:rsidP="004C7B11">
      <w:pPr>
        <w:spacing w:after="0" w:line="280" w:lineRule="exact"/>
        <w:jc w:val="both"/>
        <w:rPr>
          <w:color w:val="auto"/>
        </w:rPr>
      </w:pPr>
    </w:p>
    <w:p w14:paraId="4EBFBD61" w14:textId="75AC20FE" w:rsidR="00C73183" w:rsidRPr="00CE1A25" w:rsidRDefault="004C7B11" w:rsidP="00C73183">
      <w:pPr>
        <w:spacing w:line="280" w:lineRule="atLeast"/>
        <w:jc w:val="both"/>
        <w:rPr>
          <w:color w:val="auto"/>
        </w:rPr>
      </w:pPr>
      <w:r w:rsidRPr="00CE1A25">
        <w:rPr>
          <w:color w:val="auto"/>
        </w:rPr>
        <w:t>Our recommendation is that</w:t>
      </w:r>
      <w:r w:rsidR="001B5B6F" w:rsidRPr="00CE1A25">
        <w:rPr>
          <w:color w:val="auto"/>
        </w:rPr>
        <w:t>, for the purposes of calculating a fair cost of care for council supported residents,</w:t>
      </w:r>
      <w:r w:rsidRPr="00CE1A25">
        <w:rPr>
          <w:color w:val="auto"/>
        </w:rPr>
        <w:t xml:space="preserve"> </w:t>
      </w:r>
      <w:r w:rsidR="00C01E19" w:rsidRPr="00CE1A25">
        <w:rPr>
          <w:color w:val="auto"/>
        </w:rPr>
        <w:t xml:space="preserve">the median freehold valuation per bed derived from toolkit submissions </w:t>
      </w:r>
      <w:r w:rsidR="001B5B6F" w:rsidRPr="00CE1A25">
        <w:rPr>
          <w:color w:val="auto"/>
        </w:rPr>
        <w:t xml:space="preserve">should be capped at </w:t>
      </w:r>
      <w:r w:rsidR="00067B2C" w:rsidRPr="00CE1A25">
        <w:rPr>
          <w:color w:val="auto"/>
        </w:rPr>
        <w:t xml:space="preserve">a maximum </w:t>
      </w:r>
      <w:r w:rsidR="001B5B6F" w:rsidRPr="00CE1A25">
        <w:rPr>
          <w:color w:val="auto"/>
        </w:rPr>
        <w:t xml:space="preserve">of </w:t>
      </w:r>
      <w:r w:rsidR="00067B2C" w:rsidRPr="00CE1A25">
        <w:rPr>
          <w:color w:val="auto"/>
        </w:rPr>
        <w:t>£1</w:t>
      </w:r>
      <w:r w:rsidR="00C01E19" w:rsidRPr="00CE1A25">
        <w:rPr>
          <w:color w:val="auto"/>
        </w:rPr>
        <w:t>10</w:t>
      </w:r>
      <w:r w:rsidR="00067B2C" w:rsidRPr="00CE1A25">
        <w:rPr>
          <w:color w:val="auto"/>
        </w:rPr>
        <w:t>,000</w:t>
      </w:r>
      <w:r w:rsidR="001B5B6F" w:rsidRPr="00CE1A25">
        <w:rPr>
          <w:color w:val="auto"/>
        </w:rPr>
        <w:t>, being the estimated build+land cost of developing a new care home to a standard mid-market specification</w:t>
      </w:r>
      <w:r w:rsidR="007A432F" w:rsidRPr="00CE1A25">
        <w:rPr>
          <w:color w:val="auto"/>
        </w:rPr>
        <w:t xml:space="preserve">, and that freehold valuation per occupied bed should be capped at £122,000, assuming 90% occupancy. </w:t>
      </w:r>
      <w:r w:rsidR="00075A43">
        <w:rPr>
          <w:color w:val="auto"/>
        </w:rPr>
        <w:t>Th</w:t>
      </w:r>
      <w:r w:rsidR="002E1CE9">
        <w:rPr>
          <w:color w:val="auto"/>
        </w:rPr>
        <w:t>e cap</w:t>
      </w:r>
      <w:r w:rsidR="00075A43">
        <w:rPr>
          <w:color w:val="auto"/>
        </w:rPr>
        <w:t xml:space="preserve"> does not apply to Sheffield, where </w:t>
      </w:r>
      <w:r w:rsidR="00075A43" w:rsidRPr="00CE1A25">
        <w:rPr>
          <w:color w:val="auto"/>
        </w:rPr>
        <w:t xml:space="preserve">the median freehold valuation per bed derived from toolkit submissions </w:t>
      </w:r>
      <w:r w:rsidR="00075A43">
        <w:rPr>
          <w:color w:val="auto"/>
        </w:rPr>
        <w:t xml:space="preserve">was about half of the </w:t>
      </w:r>
      <w:r w:rsidR="00075A43" w:rsidRPr="00CE1A25">
        <w:rPr>
          <w:color w:val="auto"/>
        </w:rPr>
        <w:t>£110,000</w:t>
      </w:r>
      <w:r w:rsidR="002E1CE9">
        <w:rPr>
          <w:color w:val="auto"/>
        </w:rPr>
        <w:t xml:space="preserve"> limit</w:t>
      </w:r>
      <w:r w:rsidR="00075A43">
        <w:rPr>
          <w:color w:val="auto"/>
        </w:rPr>
        <w:t>.</w:t>
      </w:r>
    </w:p>
    <w:p w14:paraId="0AFD5F91" w14:textId="0BDAB424" w:rsidR="00987C89" w:rsidRDefault="00987C89" w:rsidP="004C7B11">
      <w:pPr>
        <w:spacing w:after="0" w:line="280" w:lineRule="exact"/>
        <w:jc w:val="both"/>
      </w:pPr>
    </w:p>
    <w:p w14:paraId="6F2FA1B7" w14:textId="285FFEB4" w:rsidR="00930CAC" w:rsidRDefault="00930CAC" w:rsidP="00930CAC">
      <w:pPr>
        <w:pStyle w:val="Heading3"/>
      </w:pPr>
      <w:bookmarkStart w:id="38" w:name="_Toc116555562"/>
      <w:r>
        <w:t>2.1</w:t>
      </w:r>
      <w:r w:rsidR="00DE302D">
        <w:t>1</w:t>
      </w:r>
      <w:r>
        <w:t>.</w:t>
      </w:r>
      <w:r w:rsidR="00F51BFF">
        <w:t>2</w:t>
      </w:r>
      <w:r>
        <w:t xml:space="preserve"> Sensitivity to occupancy rates</w:t>
      </w:r>
      <w:bookmarkEnd w:id="38"/>
    </w:p>
    <w:p w14:paraId="1319BB96" w14:textId="77777777" w:rsidR="00930CAC" w:rsidRDefault="00930CAC" w:rsidP="004C7B11">
      <w:pPr>
        <w:spacing w:after="0" w:line="280" w:lineRule="exact"/>
        <w:jc w:val="both"/>
      </w:pPr>
    </w:p>
    <w:p w14:paraId="6D2BED44" w14:textId="42B8AAF1" w:rsidR="005047EA" w:rsidRPr="00CE1A25" w:rsidRDefault="00E76826">
      <w:pPr>
        <w:rPr>
          <w:color w:val="auto"/>
        </w:rPr>
      </w:pPr>
      <w:r w:rsidRPr="00CE1A25">
        <w:rPr>
          <w:color w:val="auto"/>
        </w:rPr>
        <w:t>Care home o</w:t>
      </w:r>
      <w:r w:rsidR="00930CAC" w:rsidRPr="00CE1A25">
        <w:rPr>
          <w:color w:val="auto"/>
        </w:rPr>
        <w:t>ccupancy rates</w:t>
      </w:r>
      <w:r w:rsidRPr="00CE1A25">
        <w:rPr>
          <w:color w:val="auto"/>
        </w:rPr>
        <w:t xml:space="preserve"> in m</w:t>
      </w:r>
      <w:r w:rsidR="00557E1F" w:rsidRPr="00CE1A25">
        <w:rPr>
          <w:color w:val="auto"/>
        </w:rPr>
        <w:t>any</w:t>
      </w:r>
      <w:r w:rsidRPr="00CE1A25">
        <w:rPr>
          <w:color w:val="auto"/>
        </w:rPr>
        <w:t xml:space="preserve"> council areas</w:t>
      </w:r>
      <w:r w:rsidR="00930CAC" w:rsidRPr="00CE1A25">
        <w:rPr>
          <w:color w:val="auto"/>
        </w:rPr>
        <w:t xml:space="preserve"> are still recovering from excess deaths during the Covid pandemic, and possibly from a dampening of demand</w:t>
      </w:r>
      <w:r w:rsidR="00F51BFF" w:rsidRPr="00CE1A25">
        <w:rPr>
          <w:color w:val="auto"/>
        </w:rPr>
        <w:t xml:space="preserve"> as a result of negative experiences during Covid. There is a case, in principle</w:t>
      </w:r>
      <w:r w:rsidR="005047EA" w:rsidRPr="00CE1A25">
        <w:rPr>
          <w:color w:val="auto"/>
        </w:rPr>
        <w:t>,</w:t>
      </w:r>
      <w:r w:rsidR="00F51BFF" w:rsidRPr="00CE1A25">
        <w:rPr>
          <w:color w:val="auto"/>
        </w:rPr>
        <w:t xml:space="preserve"> for adjusting the median costs in Table 4 (which are based on 2021/22 occupancy levels) to take account of possibly higher average occupancy rates by April 2022, or to </w:t>
      </w:r>
      <w:r w:rsidR="005047EA" w:rsidRPr="00CE1A25">
        <w:rPr>
          <w:color w:val="auto"/>
        </w:rPr>
        <w:t>adjust costs to an ‘efficient’ benchmark, which m</w:t>
      </w:r>
      <w:r w:rsidR="00744127" w:rsidRPr="00CE1A25">
        <w:rPr>
          <w:color w:val="auto"/>
        </w:rPr>
        <w:t>ight</w:t>
      </w:r>
      <w:r w:rsidR="005047EA" w:rsidRPr="00CE1A25">
        <w:rPr>
          <w:color w:val="auto"/>
        </w:rPr>
        <w:t xml:space="preserve"> be in the region of 90%. </w:t>
      </w:r>
    </w:p>
    <w:p w14:paraId="5B1560F6" w14:textId="677296E9" w:rsidR="007473C2" w:rsidRPr="00CE1A25" w:rsidRDefault="005047EA" w:rsidP="00182F79">
      <w:pPr>
        <w:spacing w:after="0" w:line="280" w:lineRule="exact"/>
        <w:jc w:val="both"/>
        <w:rPr>
          <w:color w:val="auto"/>
        </w:rPr>
      </w:pPr>
      <w:r w:rsidRPr="00CE1A25">
        <w:rPr>
          <w:color w:val="auto"/>
        </w:rPr>
        <w:t xml:space="preserve">While the council may take </w:t>
      </w:r>
      <w:r w:rsidR="00744127" w:rsidRPr="00CE1A25">
        <w:rPr>
          <w:color w:val="auto"/>
        </w:rPr>
        <w:t>occupancy rates</w:t>
      </w:r>
      <w:r w:rsidRPr="00CE1A25">
        <w:rPr>
          <w:color w:val="auto"/>
        </w:rPr>
        <w:t xml:space="preserve"> into consideration when </w:t>
      </w:r>
      <w:r w:rsidR="008D08EC" w:rsidRPr="00CE1A25">
        <w:rPr>
          <w:color w:val="auto"/>
        </w:rPr>
        <w:t xml:space="preserve">looking at market sustainability and </w:t>
      </w:r>
      <w:r w:rsidRPr="00CE1A25">
        <w:rPr>
          <w:color w:val="auto"/>
        </w:rPr>
        <w:t xml:space="preserve">setting fee rates for 2022/23 and beyond, we do not recommend making any occupancy-based </w:t>
      </w:r>
      <w:r w:rsidR="008D08EC" w:rsidRPr="00CE1A25">
        <w:rPr>
          <w:color w:val="auto"/>
        </w:rPr>
        <w:t>adjustments to the median costs set out in Table 4 for the purposes of FCoC, for the following reasons:</w:t>
      </w:r>
    </w:p>
    <w:p w14:paraId="6E5F2704" w14:textId="77777777" w:rsidR="007473C2" w:rsidRPr="00CE1A25" w:rsidRDefault="007473C2" w:rsidP="00182F79">
      <w:pPr>
        <w:spacing w:after="0" w:line="280" w:lineRule="exact"/>
        <w:jc w:val="both"/>
        <w:rPr>
          <w:color w:val="auto"/>
        </w:rPr>
      </w:pPr>
    </w:p>
    <w:p w14:paraId="6DF32884" w14:textId="1A7CBDB0" w:rsidR="00744127" w:rsidRPr="002E1CE9" w:rsidRDefault="00744127" w:rsidP="002E1CE9">
      <w:pPr>
        <w:pStyle w:val="ListParagraph"/>
        <w:numPr>
          <w:ilvl w:val="0"/>
          <w:numId w:val="20"/>
        </w:numPr>
        <w:spacing w:line="280" w:lineRule="exact"/>
        <w:jc w:val="both"/>
        <w:rPr>
          <w:color w:val="auto"/>
        </w:rPr>
      </w:pPr>
      <w:r w:rsidRPr="00CE1A25">
        <w:rPr>
          <w:color w:val="auto"/>
        </w:rPr>
        <w:t xml:space="preserve">Based on validated submissions to date, occupancy rates in </w:t>
      </w:r>
      <w:r w:rsidR="00E76826" w:rsidRPr="00CE1A25">
        <w:rPr>
          <w:color w:val="auto"/>
        </w:rPr>
        <w:t>most council areas</w:t>
      </w:r>
      <w:r w:rsidRPr="00CE1A25">
        <w:rPr>
          <w:color w:val="auto"/>
        </w:rPr>
        <w:t xml:space="preserve"> are not substantially different from</w:t>
      </w:r>
      <w:r w:rsidR="009A055A" w:rsidRPr="00CE1A25">
        <w:rPr>
          <w:color w:val="auto"/>
        </w:rPr>
        <w:t xml:space="preserve"> national, sector-wide pre-Covid averages;</w:t>
      </w:r>
    </w:p>
    <w:p w14:paraId="57596BFB" w14:textId="6BB8E61C" w:rsidR="00271F65" w:rsidRPr="002E1CE9" w:rsidRDefault="00744127" w:rsidP="002E1CE9">
      <w:pPr>
        <w:pStyle w:val="ListParagraph"/>
        <w:numPr>
          <w:ilvl w:val="0"/>
          <w:numId w:val="20"/>
        </w:numPr>
        <w:spacing w:line="280" w:lineRule="exact"/>
        <w:jc w:val="both"/>
        <w:rPr>
          <w:color w:val="auto"/>
        </w:rPr>
      </w:pPr>
      <w:r w:rsidRPr="00CE1A25">
        <w:rPr>
          <w:color w:val="auto"/>
        </w:rPr>
        <w:t>Occupancy a</w:t>
      </w:r>
      <w:r w:rsidR="00271F65" w:rsidRPr="00CE1A25">
        <w:rPr>
          <w:color w:val="auto"/>
        </w:rPr>
        <w:t>djustments would need to make assumptions about fixed and variable costs</w:t>
      </w:r>
      <w:r w:rsidR="00D1255F" w:rsidRPr="00CE1A25">
        <w:rPr>
          <w:color w:val="auto"/>
        </w:rPr>
        <w:t xml:space="preserve"> of care homes, which may be contentious</w:t>
      </w:r>
      <w:r w:rsidR="009A055A" w:rsidRPr="00CE1A25">
        <w:rPr>
          <w:color w:val="auto"/>
        </w:rPr>
        <w:t>; and</w:t>
      </w:r>
    </w:p>
    <w:p w14:paraId="06F9CA14" w14:textId="5544C7D5" w:rsidR="007473C2" w:rsidRPr="00CE1A25" w:rsidRDefault="007473C2" w:rsidP="007473C2">
      <w:pPr>
        <w:pStyle w:val="ListParagraph"/>
        <w:numPr>
          <w:ilvl w:val="0"/>
          <w:numId w:val="20"/>
        </w:numPr>
        <w:spacing w:line="280" w:lineRule="exact"/>
        <w:jc w:val="both"/>
        <w:rPr>
          <w:color w:val="auto"/>
        </w:rPr>
      </w:pPr>
      <w:r w:rsidRPr="00CE1A25">
        <w:rPr>
          <w:color w:val="auto"/>
        </w:rPr>
        <w:t>A</w:t>
      </w:r>
      <w:r w:rsidR="00744127" w:rsidRPr="00CE1A25">
        <w:rPr>
          <w:color w:val="auto"/>
        </w:rPr>
        <w:t>ny</w:t>
      </w:r>
      <w:r w:rsidRPr="00CE1A25">
        <w:rPr>
          <w:color w:val="auto"/>
        </w:rPr>
        <w:t xml:space="preserve"> adjustment introduce</w:t>
      </w:r>
      <w:r w:rsidR="00744127" w:rsidRPr="00CE1A25">
        <w:rPr>
          <w:color w:val="auto"/>
        </w:rPr>
        <w:t>s</w:t>
      </w:r>
      <w:r w:rsidRPr="00CE1A25">
        <w:rPr>
          <w:color w:val="auto"/>
        </w:rPr>
        <w:t xml:space="preserve"> an additional layer of potential contention</w:t>
      </w:r>
      <w:r w:rsidR="00D1255F" w:rsidRPr="00CE1A25">
        <w:rPr>
          <w:color w:val="auto"/>
        </w:rPr>
        <w:t>, and begs the question: why not consider other adjustments?</w:t>
      </w:r>
    </w:p>
    <w:p w14:paraId="010CFBFD" w14:textId="224C96E9" w:rsidR="007473C2" w:rsidRPr="00CE1A25" w:rsidRDefault="007473C2">
      <w:pPr>
        <w:spacing w:line="280" w:lineRule="exact"/>
        <w:ind w:left="360"/>
        <w:jc w:val="both"/>
        <w:rPr>
          <w:color w:val="auto"/>
        </w:rPr>
      </w:pPr>
    </w:p>
    <w:p w14:paraId="06D9366F" w14:textId="2C4AE2DC" w:rsidR="007C6111" w:rsidRPr="00CE1A25" w:rsidRDefault="00554E8B" w:rsidP="008B6727">
      <w:pPr>
        <w:spacing w:after="0" w:line="280" w:lineRule="exact"/>
        <w:jc w:val="both"/>
        <w:rPr>
          <w:color w:val="auto"/>
        </w:rPr>
      </w:pPr>
      <w:r w:rsidRPr="00CE1A25">
        <w:rPr>
          <w:color w:val="auto"/>
        </w:rPr>
        <w:t>The</w:t>
      </w:r>
      <w:r w:rsidR="00881453" w:rsidRPr="00CE1A25">
        <w:rPr>
          <w:color w:val="auto"/>
        </w:rPr>
        <w:t xml:space="preserve"> </w:t>
      </w:r>
      <w:r w:rsidR="00355993" w:rsidRPr="00CE1A25">
        <w:rPr>
          <w:color w:val="auto"/>
        </w:rPr>
        <w:t xml:space="preserve">potential </w:t>
      </w:r>
      <w:r w:rsidR="00881453" w:rsidRPr="00CE1A25">
        <w:rPr>
          <w:color w:val="auto"/>
        </w:rPr>
        <w:t xml:space="preserve">impact </w:t>
      </w:r>
      <w:r w:rsidR="00355993" w:rsidRPr="00CE1A25">
        <w:rPr>
          <w:color w:val="auto"/>
        </w:rPr>
        <w:t xml:space="preserve">of adjusting </w:t>
      </w:r>
      <w:r w:rsidR="00881453" w:rsidRPr="00CE1A25">
        <w:rPr>
          <w:color w:val="auto"/>
        </w:rPr>
        <w:t>calculated median costs</w:t>
      </w:r>
      <w:r w:rsidR="007233BF" w:rsidRPr="00CE1A25">
        <w:rPr>
          <w:color w:val="auto"/>
        </w:rPr>
        <w:t>,</w:t>
      </w:r>
      <w:r w:rsidR="00881453" w:rsidRPr="00CE1A25">
        <w:rPr>
          <w:color w:val="auto"/>
        </w:rPr>
        <w:t xml:space="preserve"> </w:t>
      </w:r>
      <w:r w:rsidR="007233BF" w:rsidRPr="00CE1A25">
        <w:rPr>
          <w:color w:val="auto"/>
        </w:rPr>
        <w:t>to reflect a benchmark</w:t>
      </w:r>
      <w:r w:rsidR="00355993" w:rsidRPr="00CE1A25">
        <w:rPr>
          <w:color w:val="auto"/>
        </w:rPr>
        <w:t xml:space="preserve"> occupancy </w:t>
      </w:r>
      <w:r w:rsidR="007233BF" w:rsidRPr="00CE1A25">
        <w:rPr>
          <w:color w:val="auto"/>
        </w:rPr>
        <w:t xml:space="preserve">rate of 90%, </w:t>
      </w:r>
      <w:r w:rsidR="00355993" w:rsidRPr="00CE1A25">
        <w:rPr>
          <w:color w:val="auto"/>
        </w:rPr>
        <w:t xml:space="preserve">is set out in Table </w:t>
      </w:r>
      <w:r w:rsidR="006D1C7A">
        <w:rPr>
          <w:color w:val="auto"/>
        </w:rPr>
        <w:t>7</w:t>
      </w:r>
      <w:r w:rsidR="00C00687" w:rsidRPr="00CE1A25">
        <w:rPr>
          <w:color w:val="auto"/>
        </w:rPr>
        <w:t>, though i</w:t>
      </w:r>
      <w:r w:rsidR="007C6111" w:rsidRPr="00CE1A25">
        <w:rPr>
          <w:color w:val="auto"/>
        </w:rPr>
        <w:t>t requires an assumption on fixed and variable costs. For illustration</w:t>
      </w:r>
      <w:r w:rsidR="00C00687" w:rsidRPr="00CE1A25">
        <w:rPr>
          <w:color w:val="auto"/>
        </w:rPr>
        <w:t>,</w:t>
      </w:r>
      <w:r w:rsidR="007C6111" w:rsidRPr="00CE1A25">
        <w:rPr>
          <w:color w:val="auto"/>
        </w:rPr>
        <w:t xml:space="preserve"> we have </w:t>
      </w:r>
      <w:r w:rsidR="00CF35D8" w:rsidRPr="00CE1A25">
        <w:rPr>
          <w:color w:val="auto"/>
        </w:rPr>
        <w:t xml:space="preserve">arbitrarily </w:t>
      </w:r>
      <w:r w:rsidR="007C6111" w:rsidRPr="00CE1A25">
        <w:rPr>
          <w:color w:val="auto"/>
        </w:rPr>
        <w:t>assumed that 7</w:t>
      </w:r>
      <w:r w:rsidR="00CF35D8" w:rsidRPr="00CE1A25">
        <w:rPr>
          <w:color w:val="auto"/>
        </w:rPr>
        <w:t>5</w:t>
      </w:r>
      <w:r w:rsidR="007C6111" w:rsidRPr="00CE1A25">
        <w:rPr>
          <w:color w:val="auto"/>
        </w:rPr>
        <w:t>% of average care home operating costs would remain fixed as occupancy change</w:t>
      </w:r>
      <w:r w:rsidR="007233BF" w:rsidRPr="00CE1A25">
        <w:rPr>
          <w:color w:val="auto"/>
        </w:rPr>
        <w:t>d</w:t>
      </w:r>
      <w:r w:rsidR="007C6111" w:rsidRPr="00CE1A25">
        <w:rPr>
          <w:color w:val="auto"/>
        </w:rPr>
        <w:t xml:space="preserve"> within the observed rate and the selected benchmark, and that </w:t>
      </w:r>
      <w:r w:rsidR="00CF35D8" w:rsidRPr="00CE1A25">
        <w:rPr>
          <w:color w:val="auto"/>
        </w:rPr>
        <w:t>25</w:t>
      </w:r>
      <w:r w:rsidR="007C6111" w:rsidRPr="00CE1A25">
        <w:rPr>
          <w:color w:val="auto"/>
        </w:rPr>
        <w:t>% would be variable, varying pro rata with occupancy</w:t>
      </w:r>
      <w:r w:rsidR="00C00687" w:rsidRPr="00CE1A25">
        <w:rPr>
          <w:color w:val="auto"/>
        </w:rPr>
        <w:t>.</w:t>
      </w:r>
      <w:r w:rsidR="007233BF" w:rsidRPr="00CE1A25">
        <w:rPr>
          <w:color w:val="auto"/>
        </w:rPr>
        <w:t xml:space="preserve"> The resulting counterfactual differences in median total costs are illustrated in Table </w:t>
      </w:r>
      <w:r w:rsidR="006D1C7A">
        <w:rPr>
          <w:color w:val="auto"/>
        </w:rPr>
        <w:t>7</w:t>
      </w:r>
      <w:r w:rsidR="007233BF" w:rsidRPr="00CE1A25">
        <w:rPr>
          <w:color w:val="auto"/>
        </w:rPr>
        <w:t>.</w:t>
      </w:r>
      <w:r w:rsidR="00AB069C" w:rsidRPr="00CE1A25">
        <w:rPr>
          <w:color w:val="auto"/>
        </w:rPr>
        <w:t xml:space="preserve"> If </w:t>
      </w:r>
      <w:r w:rsidR="008B6727" w:rsidRPr="00CE1A25">
        <w:rPr>
          <w:color w:val="auto"/>
        </w:rPr>
        <w:t>any occupancy adjustment is proposed in subsequent market sustainability work, we would recommend the council consult with providers regarding the appropriate method of adjustment.</w:t>
      </w:r>
    </w:p>
    <w:p w14:paraId="1FBB5C35" w14:textId="677AB592" w:rsidR="00AB069C" w:rsidRDefault="00AB069C" w:rsidP="008B6727">
      <w:pPr>
        <w:spacing w:after="0" w:line="280" w:lineRule="exact"/>
        <w:jc w:val="both"/>
        <w:rPr>
          <w:color w:val="auto"/>
        </w:rPr>
      </w:pPr>
    </w:p>
    <w:p w14:paraId="749C498F" w14:textId="008B68E4" w:rsidR="007C6111" w:rsidRPr="00CE1A25" w:rsidRDefault="00AF3B7B" w:rsidP="00834938">
      <w:pPr>
        <w:spacing w:line="280" w:lineRule="exact"/>
        <w:jc w:val="both"/>
        <w:rPr>
          <w:b/>
          <w:bCs/>
          <w:color w:val="auto"/>
        </w:rPr>
      </w:pPr>
      <w:r w:rsidRPr="00CE1A25">
        <w:rPr>
          <w:b/>
          <w:bCs/>
          <w:color w:val="auto"/>
        </w:rPr>
        <w:t xml:space="preserve">Table </w:t>
      </w:r>
      <w:r w:rsidR="006D1C7A">
        <w:rPr>
          <w:b/>
          <w:bCs/>
          <w:color w:val="auto"/>
        </w:rPr>
        <w:t>7</w:t>
      </w:r>
      <w:r w:rsidRPr="00CE1A25">
        <w:rPr>
          <w:b/>
          <w:bCs/>
          <w:color w:val="auto"/>
        </w:rPr>
        <w:t xml:space="preserve"> </w:t>
      </w:r>
      <w:r w:rsidR="007C6111" w:rsidRPr="00CE1A25">
        <w:rPr>
          <w:b/>
          <w:bCs/>
          <w:color w:val="auto"/>
        </w:rPr>
        <w:t xml:space="preserve">Illustrative impact of </w:t>
      </w:r>
      <w:r w:rsidR="00CF35D8" w:rsidRPr="00CE1A25">
        <w:rPr>
          <w:b/>
          <w:bCs/>
          <w:color w:val="auto"/>
        </w:rPr>
        <w:t>superseding the median toolkit occupancy</w:t>
      </w:r>
      <w:r w:rsidRPr="00CE1A25">
        <w:rPr>
          <w:b/>
          <w:bCs/>
          <w:color w:val="auto"/>
        </w:rPr>
        <w:t xml:space="preserve"> </w:t>
      </w:r>
      <w:r w:rsidR="00CF35D8" w:rsidRPr="00CE1A25">
        <w:rPr>
          <w:b/>
          <w:bCs/>
          <w:color w:val="auto"/>
        </w:rPr>
        <w:t xml:space="preserve">rate with </w:t>
      </w:r>
      <w:r w:rsidRPr="00CE1A25">
        <w:rPr>
          <w:b/>
          <w:bCs/>
          <w:color w:val="auto"/>
        </w:rPr>
        <w:t xml:space="preserve">a ‘counterfactual’ benchmark occupancy rate of 90% </w:t>
      </w:r>
      <w:r w:rsidR="007067E6" w:rsidRPr="00CE1A25">
        <w:rPr>
          <w:b/>
          <w:bCs/>
          <w:color w:val="auto"/>
        </w:rPr>
        <w:t>, assuming that 30% of operating costs are fully variable and 70% are fixed within the range bounded by the benchmark occupancy and the toolkit median occupancy</w:t>
      </w:r>
    </w:p>
    <w:tbl>
      <w:tblPr>
        <w:tblW w:w="12160" w:type="dxa"/>
        <w:tblLook w:val="04A0" w:firstRow="1" w:lastRow="0" w:firstColumn="1" w:lastColumn="0" w:noHBand="0" w:noVBand="1"/>
      </w:tblPr>
      <w:tblGrid>
        <w:gridCol w:w="5920"/>
        <w:gridCol w:w="1460"/>
        <w:gridCol w:w="2000"/>
        <w:gridCol w:w="1060"/>
        <w:gridCol w:w="1720"/>
      </w:tblGrid>
      <w:tr w:rsidR="00CE1A25" w:rsidRPr="00CE1A25" w14:paraId="6BD12E56" w14:textId="77777777" w:rsidTr="00835F5C">
        <w:trPr>
          <w:trHeight w:val="936"/>
        </w:trPr>
        <w:tc>
          <w:tcPr>
            <w:tcW w:w="5920" w:type="dxa"/>
            <w:tcBorders>
              <w:top w:val="single" w:sz="4" w:space="0" w:color="auto"/>
              <w:left w:val="nil"/>
              <w:bottom w:val="single" w:sz="4" w:space="0" w:color="auto"/>
              <w:right w:val="nil"/>
            </w:tcBorders>
            <w:shd w:val="clear" w:color="auto" w:fill="auto"/>
            <w:noWrap/>
            <w:vAlign w:val="bottom"/>
            <w:hideMark/>
          </w:tcPr>
          <w:p w14:paraId="08F27A30" w14:textId="77777777" w:rsidR="00CF35D8" w:rsidRPr="00CE1A25" w:rsidRDefault="00CF35D8" w:rsidP="00CF35D8">
            <w:pPr>
              <w:spacing w:after="0" w:line="240" w:lineRule="auto"/>
              <w:rPr>
                <w:rFonts w:ascii="Calibri" w:eastAsia="Times New Roman" w:hAnsi="Calibri" w:cs="Calibri"/>
                <w:color w:val="auto"/>
                <w:lang w:eastAsia="en-GB"/>
              </w:rPr>
            </w:pPr>
            <w:r w:rsidRPr="00CE1A25">
              <w:rPr>
                <w:rFonts w:ascii="Calibri" w:eastAsia="Times New Roman" w:hAnsi="Calibri" w:cs="Calibri"/>
                <w:color w:val="auto"/>
                <w:lang w:eastAsia="en-GB"/>
              </w:rPr>
              <w:t> </w:t>
            </w:r>
          </w:p>
        </w:tc>
        <w:tc>
          <w:tcPr>
            <w:tcW w:w="1460" w:type="dxa"/>
            <w:tcBorders>
              <w:top w:val="single" w:sz="4" w:space="0" w:color="auto"/>
              <w:left w:val="nil"/>
              <w:bottom w:val="single" w:sz="4" w:space="0" w:color="auto"/>
              <w:right w:val="nil"/>
            </w:tcBorders>
            <w:shd w:val="clear" w:color="auto" w:fill="auto"/>
            <w:vAlign w:val="center"/>
            <w:hideMark/>
          </w:tcPr>
          <w:p w14:paraId="594643A6" w14:textId="77777777" w:rsidR="00CF35D8" w:rsidRPr="00CE1A25" w:rsidRDefault="00CF35D8" w:rsidP="00CF35D8">
            <w:pPr>
              <w:spacing w:after="0" w:line="240" w:lineRule="auto"/>
              <w:jc w:val="right"/>
              <w:rPr>
                <w:rFonts w:eastAsia="Times New Roman" w:cs="Calibri"/>
                <w:color w:val="auto"/>
                <w:lang w:eastAsia="en-GB"/>
              </w:rPr>
            </w:pPr>
            <w:r w:rsidRPr="00CE1A25">
              <w:rPr>
                <w:rFonts w:eastAsia="Times New Roman" w:cs="Calibri"/>
                <w:color w:val="auto"/>
                <w:lang w:eastAsia="en-GB"/>
              </w:rPr>
              <w:t>Non-Nursing</w:t>
            </w:r>
          </w:p>
        </w:tc>
        <w:tc>
          <w:tcPr>
            <w:tcW w:w="2000" w:type="dxa"/>
            <w:tcBorders>
              <w:top w:val="single" w:sz="4" w:space="0" w:color="auto"/>
              <w:left w:val="nil"/>
              <w:bottom w:val="single" w:sz="4" w:space="0" w:color="auto"/>
              <w:right w:val="nil"/>
            </w:tcBorders>
            <w:shd w:val="clear" w:color="auto" w:fill="auto"/>
            <w:vAlign w:val="center"/>
            <w:hideMark/>
          </w:tcPr>
          <w:p w14:paraId="779E2AB1" w14:textId="77777777" w:rsidR="00CF35D8" w:rsidRPr="00CE1A25" w:rsidRDefault="00CF35D8" w:rsidP="00CF35D8">
            <w:pPr>
              <w:spacing w:after="0" w:line="240" w:lineRule="auto"/>
              <w:jc w:val="right"/>
              <w:rPr>
                <w:rFonts w:eastAsia="Times New Roman" w:cs="Calibri"/>
                <w:color w:val="auto"/>
                <w:lang w:eastAsia="en-GB"/>
              </w:rPr>
            </w:pPr>
            <w:r w:rsidRPr="00CE1A25">
              <w:rPr>
                <w:rFonts w:eastAsia="Times New Roman" w:cs="Calibri"/>
                <w:color w:val="auto"/>
                <w:lang w:eastAsia="en-GB"/>
              </w:rPr>
              <w:t>Non-Nursing with enhancement</w:t>
            </w:r>
          </w:p>
        </w:tc>
        <w:tc>
          <w:tcPr>
            <w:tcW w:w="1060" w:type="dxa"/>
            <w:tcBorders>
              <w:top w:val="single" w:sz="4" w:space="0" w:color="auto"/>
              <w:left w:val="nil"/>
              <w:bottom w:val="single" w:sz="4" w:space="0" w:color="auto"/>
              <w:right w:val="nil"/>
            </w:tcBorders>
            <w:shd w:val="clear" w:color="auto" w:fill="auto"/>
            <w:vAlign w:val="center"/>
            <w:hideMark/>
          </w:tcPr>
          <w:p w14:paraId="09D8BE04" w14:textId="77777777" w:rsidR="00CF35D8" w:rsidRPr="00CE1A25" w:rsidRDefault="00CF35D8" w:rsidP="00CF35D8">
            <w:pPr>
              <w:spacing w:after="0" w:line="240" w:lineRule="auto"/>
              <w:jc w:val="right"/>
              <w:rPr>
                <w:rFonts w:eastAsia="Times New Roman" w:cs="Calibri"/>
                <w:color w:val="auto"/>
                <w:lang w:eastAsia="en-GB"/>
              </w:rPr>
            </w:pPr>
            <w:r w:rsidRPr="00CE1A25">
              <w:rPr>
                <w:rFonts w:eastAsia="Times New Roman" w:cs="Calibri"/>
                <w:color w:val="auto"/>
                <w:lang w:eastAsia="en-GB"/>
              </w:rPr>
              <w:t>Nursing</w:t>
            </w:r>
          </w:p>
        </w:tc>
        <w:tc>
          <w:tcPr>
            <w:tcW w:w="1720" w:type="dxa"/>
            <w:tcBorders>
              <w:top w:val="single" w:sz="4" w:space="0" w:color="auto"/>
              <w:left w:val="nil"/>
              <w:bottom w:val="single" w:sz="4" w:space="0" w:color="auto"/>
              <w:right w:val="nil"/>
            </w:tcBorders>
            <w:shd w:val="clear" w:color="auto" w:fill="auto"/>
            <w:vAlign w:val="center"/>
            <w:hideMark/>
          </w:tcPr>
          <w:p w14:paraId="5AFE60B7" w14:textId="77777777" w:rsidR="00CF35D8" w:rsidRPr="00CE1A25" w:rsidRDefault="00CF35D8" w:rsidP="00CF35D8">
            <w:pPr>
              <w:spacing w:after="0" w:line="240" w:lineRule="auto"/>
              <w:jc w:val="right"/>
              <w:rPr>
                <w:rFonts w:eastAsia="Times New Roman" w:cs="Calibri"/>
                <w:color w:val="auto"/>
                <w:lang w:eastAsia="en-GB"/>
              </w:rPr>
            </w:pPr>
            <w:r w:rsidRPr="00CE1A25">
              <w:rPr>
                <w:rFonts w:eastAsia="Times New Roman" w:cs="Calibri"/>
                <w:color w:val="auto"/>
                <w:lang w:eastAsia="en-GB"/>
              </w:rPr>
              <w:t>Nursing with enhancement</w:t>
            </w:r>
          </w:p>
        </w:tc>
      </w:tr>
      <w:tr w:rsidR="00CE1A25" w:rsidRPr="00CE1A25" w14:paraId="545E8632" w14:textId="77777777" w:rsidTr="00182F79">
        <w:trPr>
          <w:trHeight w:val="300"/>
        </w:trPr>
        <w:tc>
          <w:tcPr>
            <w:tcW w:w="5920" w:type="dxa"/>
            <w:tcBorders>
              <w:top w:val="single" w:sz="4" w:space="0" w:color="auto"/>
              <w:left w:val="nil"/>
              <w:bottom w:val="single" w:sz="4" w:space="0" w:color="auto"/>
              <w:right w:val="nil"/>
            </w:tcBorders>
            <w:shd w:val="clear" w:color="auto" w:fill="auto"/>
            <w:vAlign w:val="bottom"/>
            <w:hideMark/>
          </w:tcPr>
          <w:p w14:paraId="3A580150" w14:textId="77777777" w:rsidR="00CF35D8" w:rsidRPr="00CE1A25" w:rsidRDefault="00CF35D8" w:rsidP="00CF35D8">
            <w:pPr>
              <w:spacing w:after="0" w:line="240" w:lineRule="auto"/>
              <w:rPr>
                <w:rFonts w:ascii="Calibri" w:eastAsia="Times New Roman" w:hAnsi="Calibri" w:cs="Calibri"/>
                <w:b/>
                <w:bCs/>
                <w:color w:val="auto"/>
                <w:lang w:eastAsia="en-GB"/>
              </w:rPr>
            </w:pPr>
            <w:r w:rsidRPr="00CE1A25">
              <w:rPr>
                <w:rFonts w:ascii="Calibri" w:eastAsia="Times New Roman" w:hAnsi="Calibri" w:cs="Calibri"/>
                <w:b/>
                <w:bCs/>
                <w:color w:val="auto"/>
                <w:lang w:eastAsia="en-GB"/>
              </w:rPr>
              <w:t>Calculated value of the occupancy adjustment  (£ pw)</w:t>
            </w:r>
          </w:p>
        </w:tc>
        <w:tc>
          <w:tcPr>
            <w:tcW w:w="1460" w:type="dxa"/>
            <w:tcBorders>
              <w:top w:val="single" w:sz="4" w:space="0" w:color="auto"/>
              <w:left w:val="nil"/>
              <w:bottom w:val="single" w:sz="4" w:space="0" w:color="auto"/>
              <w:right w:val="nil"/>
            </w:tcBorders>
            <w:shd w:val="clear" w:color="auto" w:fill="auto"/>
            <w:noWrap/>
            <w:vAlign w:val="bottom"/>
          </w:tcPr>
          <w:p w14:paraId="5D3724D7" w14:textId="6122A1D4" w:rsidR="00CF35D8" w:rsidRPr="00CE1A25" w:rsidRDefault="00106AF4" w:rsidP="00CF35D8">
            <w:pPr>
              <w:spacing w:after="0" w:line="240" w:lineRule="auto"/>
              <w:jc w:val="right"/>
              <w:rPr>
                <w:rFonts w:ascii="Calibri" w:eastAsia="Times New Roman" w:hAnsi="Calibri" w:cs="Calibri"/>
                <w:b/>
                <w:bCs/>
                <w:color w:val="auto"/>
                <w:lang w:eastAsia="en-GB"/>
              </w:rPr>
            </w:pPr>
            <w:r w:rsidRPr="00CE1A25">
              <w:rPr>
                <w:rFonts w:eastAsia="Times New Roman" w:cs="Calibri"/>
                <w:b/>
                <w:bCs/>
                <w:color w:val="auto"/>
                <w:lang w:eastAsia="en-GB"/>
              </w:rPr>
              <w:t>-£9</w:t>
            </w:r>
          </w:p>
        </w:tc>
        <w:tc>
          <w:tcPr>
            <w:tcW w:w="2000" w:type="dxa"/>
            <w:tcBorders>
              <w:top w:val="single" w:sz="4" w:space="0" w:color="auto"/>
              <w:left w:val="nil"/>
              <w:bottom w:val="single" w:sz="4" w:space="0" w:color="auto"/>
              <w:right w:val="nil"/>
            </w:tcBorders>
            <w:shd w:val="clear" w:color="auto" w:fill="auto"/>
            <w:noWrap/>
            <w:vAlign w:val="bottom"/>
          </w:tcPr>
          <w:p w14:paraId="278D3096" w14:textId="08A733D6" w:rsidR="00CF35D8" w:rsidRPr="00CE1A25" w:rsidRDefault="00106AF4" w:rsidP="00CF35D8">
            <w:pPr>
              <w:spacing w:after="0" w:line="240" w:lineRule="auto"/>
              <w:jc w:val="right"/>
              <w:rPr>
                <w:rFonts w:ascii="Calibri" w:eastAsia="Times New Roman" w:hAnsi="Calibri" w:cs="Calibri"/>
                <w:b/>
                <w:bCs/>
                <w:color w:val="auto"/>
                <w:lang w:eastAsia="en-GB"/>
              </w:rPr>
            </w:pPr>
            <w:r w:rsidRPr="00CE1A25">
              <w:rPr>
                <w:rFonts w:eastAsia="Times New Roman" w:cs="Calibri"/>
                <w:b/>
                <w:bCs/>
                <w:color w:val="auto"/>
                <w:lang w:eastAsia="en-GB"/>
              </w:rPr>
              <w:t>-£9</w:t>
            </w:r>
          </w:p>
        </w:tc>
        <w:tc>
          <w:tcPr>
            <w:tcW w:w="1060" w:type="dxa"/>
            <w:tcBorders>
              <w:top w:val="single" w:sz="4" w:space="0" w:color="auto"/>
              <w:left w:val="nil"/>
              <w:bottom w:val="single" w:sz="4" w:space="0" w:color="auto"/>
              <w:right w:val="nil"/>
            </w:tcBorders>
            <w:shd w:val="clear" w:color="auto" w:fill="auto"/>
            <w:noWrap/>
            <w:vAlign w:val="bottom"/>
          </w:tcPr>
          <w:p w14:paraId="6E8DB438" w14:textId="4E1114A9" w:rsidR="00CF35D8" w:rsidRPr="00CE1A25" w:rsidRDefault="00106AF4" w:rsidP="00CF35D8">
            <w:pPr>
              <w:spacing w:after="0" w:line="240" w:lineRule="auto"/>
              <w:jc w:val="right"/>
              <w:rPr>
                <w:rFonts w:ascii="Calibri" w:eastAsia="Times New Roman" w:hAnsi="Calibri" w:cs="Calibri"/>
                <w:b/>
                <w:bCs/>
                <w:color w:val="auto"/>
                <w:lang w:eastAsia="en-GB"/>
              </w:rPr>
            </w:pPr>
            <w:r w:rsidRPr="00CE1A25">
              <w:rPr>
                <w:rFonts w:eastAsia="Times New Roman" w:cs="Calibri"/>
                <w:b/>
                <w:bCs/>
                <w:color w:val="auto"/>
                <w:lang w:eastAsia="en-GB"/>
              </w:rPr>
              <w:t>-£1</w:t>
            </w:r>
            <w:r w:rsidR="006339F9">
              <w:rPr>
                <w:rFonts w:eastAsia="Times New Roman" w:cs="Calibri"/>
                <w:b/>
                <w:bCs/>
                <w:color w:val="auto"/>
                <w:lang w:eastAsia="en-GB"/>
              </w:rPr>
              <w:t>1</w:t>
            </w:r>
          </w:p>
        </w:tc>
        <w:tc>
          <w:tcPr>
            <w:tcW w:w="1720" w:type="dxa"/>
            <w:tcBorders>
              <w:top w:val="single" w:sz="4" w:space="0" w:color="auto"/>
              <w:left w:val="nil"/>
              <w:bottom w:val="single" w:sz="4" w:space="0" w:color="auto"/>
              <w:right w:val="nil"/>
            </w:tcBorders>
            <w:shd w:val="clear" w:color="auto" w:fill="auto"/>
            <w:noWrap/>
            <w:vAlign w:val="bottom"/>
          </w:tcPr>
          <w:p w14:paraId="4D47BE5B" w14:textId="680377D5" w:rsidR="00CF35D8" w:rsidRPr="00CE1A25" w:rsidRDefault="00106AF4" w:rsidP="00CF35D8">
            <w:pPr>
              <w:spacing w:after="0" w:line="240" w:lineRule="auto"/>
              <w:jc w:val="right"/>
              <w:rPr>
                <w:rFonts w:ascii="Calibri" w:eastAsia="Times New Roman" w:hAnsi="Calibri" w:cs="Calibri"/>
                <w:b/>
                <w:bCs/>
                <w:color w:val="auto"/>
                <w:lang w:eastAsia="en-GB"/>
              </w:rPr>
            </w:pPr>
            <w:r w:rsidRPr="00CE1A25">
              <w:rPr>
                <w:rFonts w:eastAsia="Times New Roman" w:cs="Calibri"/>
                <w:b/>
                <w:bCs/>
                <w:color w:val="auto"/>
                <w:lang w:eastAsia="en-GB"/>
              </w:rPr>
              <w:t>-£12</w:t>
            </w:r>
          </w:p>
        </w:tc>
      </w:tr>
    </w:tbl>
    <w:p w14:paraId="3357B296" w14:textId="00527E0D" w:rsidR="00984A57" w:rsidRDefault="00984A57" w:rsidP="009724D3">
      <w:pPr>
        <w:pStyle w:val="Heading2"/>
        <w:rPr>
          <w:color w:val="auto"/>
        </w:rPr>
      </w:pPr>
    </w:p>
    <w:p w14:paraId="77BA665A" w14:textId="4FEDD4FB" w:rsidR="006339F9" w:rsidRDefault="006339F9" w:rsidP="006339F9">
      <w:pPr>
        <w:rPr>
          <w:lang w:eastAsia="en-GB"/>
        </w:rPr>
      </w:pPr>
    </w:p>
    <w:p w14:paraId="721090D3" w14:textId="0090E139" w:rsidR="006D1C7A" w:rsidRDefault="006D1C7A" w:rsidP="006339F9">
      <w:pPr>
        <w:rPr>
          <w:lang w:eastAsia="en-GB"/>
        </w:rPr>
      </w:pPr>
    </w:p>
    <w:p w14:paraId="511CF0D8" w14:textId="064C6BC1" w:rsidR="006D1C7A" w:rsidRDefault="006D1C7A" w:rsidP="006339F9">
      <w:pPr>
        <w:rPr>
          <w:lang w:eastAsia="en-GB"/>
        </w:rPr>
      </w:pPr>
    </w:p>
    <w:p w14:paraId="3CCE796B" w14:textId="5FFF0E8F" w:rsidR="006D1C7A" w:rsidRDefault="006D1C7A" w:rsidP="006339F9">
      <w:pPr>
        <w:rPr>
          <w:lang w:eastAsia="en-GB"/>
        </w:rPr>
      </w:pPr>
    </w:p>
    <w:p w14:paraId="56DE5C83" w14:textId="4F378D19" w:rsidR="006D1C7A" w:rsidRDefault="006D1C7A" w:rsidP="006339F9">
      <w:pPr>
        <w:rPr>
          <w:lang w:eastAsia="en-GB"/>
        </w:rPr>
      </w:pPr>
    </w:p>
    <w:p w14:paraId="212CD957" w14:textId="5C14B948" w:rsidR="006D1C7A" w:rsidRDefault="006D1C7A" w:rsidP="006339F9">
      <w:pPr>
        <w:rPr>
          <w:lang w:eastAsia="en-GB"/>
        </w:rPr>
      </w:pPr>
    </w:p>
    <w:p w14:paraId="2214EDE7" w14:textId="30751927" w:rsidR="006D1C7A" w:rsidRDefault="006D1C7A" w:rsidP="006339F9">
      <w:pPr>
        <w:rPr>
          <w:lang w:eastAsia="en-GB"/>
        </w:rPr>
      </w:pPr>
    </w:p>
    <w:p w14:paraId="1752C7D6" w14:textId="393220DF" w:rsidR="006D1C7A" w:rsidRDefault="006D1C7A" w:rsidP="006339F9">
      <w:pPr>
        <w:rPr>
          <w:lang w:eastAsia="en-GB"/>
        </w:rPr>
      </w:pPr>
    </w:p>
    <w:p w14:paraId="5323D664" w14:textId="5BD08CB9" w:rsidR="006D1C7A" w:rsidRDefault="006D1C7A" w:rsidP="006339F9">
      <w:pPr>
        <w:rPr>
          <w:lang w:eastAsia="en-GB"/>
        </w:rPr>
      </w:pPr>
    </w:p>
    <w:p w14:paraId="6AB37C88" w14:textId="02FC2B57" w:rsidR="006D1C7A" w:rsidRDefault="006D1C7A" w:rsidP="006339F9">
      <w:pPr>
        <w:rPr>
          <w:lang w:eastAsia="en-GB"/>
        </w:rPr>
      </w:pPr>
    </w:p>
    <w:p w14:paraId="1F1750EB" w14:textId="2AE93A19" w:rsidR="006D1C7A" w:rsidRDefault="006D1C7A" w:rsidP="006339F9">
      <w:pPr>
        <w:rPr>
          <w:lang w:eastAsia="en-GB"/>
        </w:rPr>
      </w:pPr>
    </w:p>
    <w:p w14:paraId="50669172" w14:textId="2CE06D45" w:rsidR="006D1C7A" w:rsidRDefault="006D1C7A" w:rsidP="006339F9">
      <w:pPr>
        <w:rPr>
          <w:lang w:eastAsia="en-GB"/>
        </w:rPr>
      </w:pPr>
    </w:p>
    <w:p w14:paraId="38CCC3E9" w14:textId="77777777" w:rsidR="006D1C7A" w:rsidRPr="006339F9" w:rsidRDefault="006D1C7A" w:rsidP="006339F9">
      <w:pPr>
        <w:rPr>
          <w:lang w:eastAsia="en-GB"/>
        </w:rPr>
      </w:pPr>
    </w:p>
    <w:p w14:paraId="6911793C" w14:textId="2349FE2C" w:rsidR="00BA513F" w:rsidRDefault="00BA513F" w:rsidP="009724D3">
      <w:pPr>
        <w:pStyle w:val="Heading2"/>
      </w:pPr>
      <w:bookmarkStart w:id="39" w:name="_Toc116555563"/>
      <w:r>
        <w:lastRenderedPageBreak/>
        <w:t>2.1</w:t>
      </w:r>
      <w:r w:rsidR="009724D3">
        <w:t>2</w:t>
      </w:r>
      <w:r>
        <w:t xml:space="preserve"> Confidence intervals</w:t>
      </w:r>
      <w:bookmarkEnd w:id="39"/>
    </w:p>
    <w:p w14:paraId="59FCE277" w14:textId="0872F4E2" w:rsidR="00835F5C" w:rsidRDefault="00835F5C" w:rsidP="00835F5C">
      <w:pPr>
        <w:spacing w:after="0" w:line="280" w:lineRule="exact"/>
        <w:jc w:val="both"/>
      </w:pPr>
    </w:p>
    <w:p w14:paraId="42DD2348" w14:textId="59CFC300" w:rsidR="00934521" w:rsidRDefault="00835F5C" w:rsidP="00934521">
      <w:pPr>
        <w:spacing w:after="0" w:line="280" w:lineRule="exact"/>
        <w:jc w:val="both"/>
        <w:rPr>
          <w:b/>
          <w:bCs/>
          <w:color w:val="auto"/>
        </w:rPr>
      </w:pPr>
      <w:r>
        <w:rPr>
          <w:b/>
          <w:bCs/>
        </w:rPr>
        <w:t xml:space="preserve">Figure </w:t>
      </w:r>
      <w:r w:rsidR="00766338">
        <w:rPr>
          <w:b/>
          <w:bCs/>
        </w:rPr>
        <w:t>2</w:t>
      </w:r>
      <w:r w:rsidRPr="002C54F4">
        <w:rPr>
          <w:b/>
          <w:bCs/>
        </w:rPr>
        <w:t xml:space="preserve"> </w:t>
      </w:r>
      <w:bookmarkStart w:id="40" w:name="_Hlk114509652"/>
      <w:r w:rsidR="00934521" w:rsidRPr="00ED1BC0">
        <w:rPr>
          <w:b/>
          <w:bCs/>
          <w:color w:val="auto"/>
        </w:rPr>
        <w:t xml:space="preserve">Fair Cost of Care median costs for April 2022 with 95% confidence intervals, and comparison with </w:t>
      </w:r>
      <w:r w:rsidR="00934521">
        <w:rPr>
          <w:b/>
          <w:bCs/>
          <w:color w:val="auto"/>
        </w:rPr>
        <w:t xml:space="preserve">median </w:t>
      </w:r>
      <w:r w:rsidR="00934521" w:rsidRPr="00ED1BC0">
        <w:rPr>
          <w:b/>
          <w:bCs/>
          <w:color w:val="auto"/>
        </w:rPr>
        <w:t>fee rates paid by Sheffield Council to independent sector providers in financial year 2022/23 to date</w:t>
      </w:r>
    </w:p>
    <w:p w14:paraId="514592A1" w14:textId="54D78E4A" w:rsidR="00203F36" w:rsidRDefault="00203F36" w:rsidP="00934521">
      <w:pPr>
        <w:spacing w:after="0" w:line="280" w:lineRule="exact"/>
        <w:jc w:val="both"/>
        <w:rPr>
          <w:b/>
          <w:bCs/>
          <w:color w:val="auto"/>
        </w:rPr>
      </w:pPr>
      <w:r>
        <w:rPr>
          <w:noProof/>
        </w:rPr>
        <w:drawing>
          <wp:anchor distT="0" distB="0" distL="114300" distR="114300" simplePos="0" relativeHeight="251658240" behindDoc="0" locked="0" layoutInCell="1" allowOverlap="1" wp14:anchorId="4AE4AC89" wp14:editId="43AB9FC8">
            <wp:simplePos x="0" y="0"/>
            <wp:positionH relativeFrom="column">
              <wp:posOffset>9525</wp:posOffset>
            </wp:positionH>
            <wp:positionV relativeFrom="paragraph">
              <wp:posOffset>209550</wp:posOffset>
            </wp:positionV>
            <wp:extent cx="7372350" cy="4475163"/>
            <wp:effectExtent l="0" t="0" r="0" b="1905"/>
            <wp:wrapTopAndBottom/>
            <wp:docPr id="1" name="Chart 1">
              <a:extLst xmlns:a="http://schemas.openxmlformats.org/drawingml/2006/main">
                <a:ext uri="{FF2B5EF4-FFF2-40B4-BE49-F238E27FC236}">
                  <a16:creationId xmlns:a16="http://schemas.microsoft.com/office/drawing/2014/main" id="{63836CB4-AF9E-DAA4-8767-3D373ADE8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172C0F11" w14:textId="31D83B64" w:rsidR="0042308D" w:rsidRPr="0042308D" w:rsidRDefault="0042308D" w:rsidP="00934521">
      <w:pPr>
        <w:spacing w:after="0" w:line="280" w:lineRule="exact"/>
        <w:jc w:val="both"/>
        <w:rPr>
          <w:color w:val="auto"/>
          <w:sz w:val="18"/>
          <w:szCs w:val="18"/>
        </w:rPr>
      </w:pPr>
      <w:r w:rsidRPr="0042308D">
        <w:rPr>
          <w:color w:val="auto"/>
          <w:sz w:val="18"/>
          <w:szCs w:val="18"/>
        </w:rPr>
        <w:t xml:space="preserve">Note: The </w:t>
      </w:r>
      <w:r w:rsidR="00934521">
        <w:rPr>
          <w:color w:val="auto"/>
          <w:sz w:val="18"/>
          <w:szCs w:val="18"/>
        </w:rPr>
        <w:t>Sheffield Council</w:t>
      </w:r>
      <w:r w:rsidRPr="0042308D">
        <w:rPr>
          <w:color w:val="auto"/>
          <w:sz w:val="18"/>
          <w:szCs w:val="18"/>
        </w:rPr>
        <w:t xml:space="preserve"> nursing care rates include £209.19 per week funding contribution from NHS FNC </w:t>
      </w:r>
    </w:p>
    <w:bookmarkEnd w:id="40"/>
    <w:p w14:paraId="3A01C967" w14:textId="77777777" w:rsidR="004974B5" w:rsidRDefault="004974B5" w:rsidP="004974B5">
      <w:pPr>
        <w:rPr>
          <w:lang w:eastAsia="en-GB"/>
        </w:rPr>
      </w:pPr>
    </w:p>
    <w:p w14:paraId="7198500D" w14:textId="77777777" w:rsidR="004974B5" w:rsidRPr="00CE1A25" w:rsidRDefault="004974B5" w:rsidP="004974B5">
      <w:pPr>
        <w:spacing w:after="0" w:line="280" w:lineRule="exact"/>
        <w:jc w:val="both"/>
        <w:rPr>
          <w:color w:val="auto"/>
        </w:rPr>
      </w:pPr>
      <w:bookmarkStart w:id="41" w:name="_Hlk114507668"/>
      <w:r w:rsidRPr="00CE1A25">
        <w:rPr>
          <w:color w:val="auto"/>
        </w:rPr>
        <w:lastRenderedPageBreak/>
        <w:t>While there is no reason to believe that the toolkit responses were biased in any systematic way</w:t>
      </w:r>
      <w:r w:rsidRPr="00CE1A25">
        <w:rPr>
          <w:rStyle w:val="FootnoteReference"/>
          <w:color w:val="auto"/>
        </w:rPr>
        <w:footnoteReference w:id="12"/>
      </w:r>
      <w:r w:rsidRPr="00CE1A25">
        <w:rPr>
          <w:color w:val="auto"/>
        </w:rPr>
        <w:t>, the number of respondents in any given council area was limited and there was a high degree of variance in many of the cost lines submitted by respondents. In particular, staff input per resident per week, which is the largest single driver of costs, was highly variable across homes within each of the four modalities of care considered</w:t>
      </w:r>
      <w:r w:rsidRPr="00CE1A25">
        <w:rPr>
          <w:rStyle w:val="FootnoteReference"/>
          <w:color w:val="auto"/>
        </w:rPr>
        <w:footnoteReference w:id="13"/>
      </w:r>
      <w:r w:rsidRPr="00CE1A25">
        <w:rPr>
          <w:color w:val="auto"/>
        </w:rPr>
        <w:t xml:space="preserve">. </w:t>
      </w:r>
    </w:p>
    <w:p w14:paraId="7B44088B" w14:textId="77777777" w:rsidR="004974B5" w:rsidRPr="00CE1A25" w:rsidRDefault="004974B5" w:rsidP="004974B5">
      <w:pPr>
        <w:spacing w:after="0" w:line="280" w:lineRule="exact"/>
        <w:jc w:val="both"/>
        <w:rPr>
          <w:color w:val="auto"/>
        </w:rPr>
      </w:pPr>
      <w:bookmarkStart w:id="42" w:name="_Hlk114509425"/>
    </w:p>
    <w:p w14:paraId="7C08A637" w14:textId="181C021F" w:rsidR="004974B5" w:rsidRPr="00CE1A25" w:rsidRDefault="004974B5" w:rsidP="004974B5">
      <w:pPr>
        <w:spacing w:after="0" w:line="280" w:lineRule="exact"/>
        <w:jc w:val="both"/>
        <w:rPr>
          <w:color w:val="auto"/>
        </w:rPr>
      </w:pPr>
      <w:bookmarkStart w:id="43" w:name="_Hlk115427850"/>
      <w:r w:rsidRPr="00CE1A25">
        <w:rPr>
          <w:color w:val="auto"/>
        </w:rPr>
        <w:t>DHSC guidance does not ask for any assessment of the statistical reliability of the FCoC results. However,</w:t>
      </w:r>
      <w:r w:rsidR="0079489C" w:rsidRPr="00CE1A25">
        <w:rPr>
          <w:color w:val="auto"/>
        </w:rPr>
        <w:t xml:space="preserve"> councils will wish to have some indication of margins of error in the light of incomplete response and the high degree of variance observed </w:t>
      </w:r>
      <w:r w:rsidRPr="00CE1A25">
        <w:rPr>
          <w:color w:val="auto"/>
        </w:rPr>
        <w:t>among the sample of toolkits in most of the cost lines</w:t>
      </w:r>
      <w:r w:rsidR="0079489C" w:rsidRPr="00CE1A25">
        <w:rPr>
          <w:color w:val="auto"/>
        </w:rPr>
        <w:t>. In particular, councils will wish to know</w:t>
      </w:r>
      <w:r w:rsidRPr="00CE1A25">
        <w:rPr>
          <w:color w:val="auto"/>
        </w:rPr>
        <w:t xml:space="preserve"> whether</w:t>
      </w:r>
      <w:r w:rsidR="0079489C" w:rsidRPr="00CE1A25">
        <w:rPr>
          <w:color w:val="auto"/>
        </w:rPr>
        <w:t xml:space="preserve"> the</w:t>
      </w:r>
      <w:r w:rsidRPr="00CE1A25">
        <w:rPr>
          <w:color w:val="auto"/>
        </w:rPr>
        <w:t xml:space="preserve"> confidence limits for the FCoC medians overlap with average fees currently being paid in </w:t>
      </w:r>
      <w:r w:rsidR="00C00687" w:rsidRPr="00CE1A25">
        <w:rPr>
          <w:color w:val="auto"/>
        </w:rPr>
        <w:t xml:space="preserve">the 2022/23 </w:t>
      </w:r>
      <w:r w:rsidRPr="00CE1A25">
        <w:rPr>
          <w:color w:val="auto"/>
        </w:rPr>
        <w:t xml:space="preserve">financial year.  </w:t>
      </w:r>
      <w:r w:rsidR="00766338" w:rsidRPr="00CE1A25">
        <w:rPr>
          <w:color w:val="auto"/>
        </w:rPr>
        <w:t>C</w:t>
      </w:r>
      <w:r w:rsidRPr="00CE1A25">
        <w:rPr>
          <w:color w:val="auto"/>
        </w:rPr>
        <w:t xml:space="preserve">alculations are set out in Figure </w:t>
      </w:r>
      <w:r w:rsidR="00766338" w:rsidRPr="00CE1A25">
        <w:rPr>
          <w:color w:val="auto"/>
        </w:rPr>
        <w:t>2</w:t>
      </w:r>
      <w:r w:rsidRPr="00CE1A25">
        <w:rPr>
          <w:color w:val="auto"/>
        </w:rPr>
        <w:t>.</w:t>
      </w:r>
    </w:p>
    <w:bookmarkEnd w:id="41"/>
    <w:bookmarkEnd w:id="42"/>
    <w:bookmarkEnd w:id="43"/>
    <w:p w14:paraId="542D1DDD" w14:textId="5516498E" w:rsidR="00BA513F" w:rsidRDefault="00BA513F">
      <w:pPr>
        <w:rPr>
          <w:lang w:eastAsia="en-GB"/>
        </w:rPr>
      </w:pPr>
    </w:p>
    <w:p w14:paraId="20B728AC" w14:textId="11F954C5" w:rsidR="00BA513F" w:rsidRDefault="00BA513F" w:rsidP="009724D3">
      <w:pPr>
        <w:pStyle w:val="Heading2"/>
      </w:pPr>
      <w:bookmarkStart w:id="44" w:name="_Toc116555564"/>
      <w:r>
        <w:t>2.1</w:t>
      </w:r>
      <w:r w:rsidR="009724D3">
        <w:t>3</w:t>
      </w:r>
      <w:r>
        <w:t xml:space="preserve"> Special local factors</w:t>
      </w:r>
      <w:bookmarkEnd w:id="44"/>
      <w:r w:rsidR="00D91ECB">
        <w:t xml:space="preserve"> </w:t>
      </w:r>
    </w:p>
    <w:p w14:paraId="5310BFE6" w14:textId="753E1053" w:rsidR="00BA513F" w:rsidRDefault="00BA513F">
      <w:pPr>
        <w:rPr>
          <w:lang w:eastAsia="en-GB"/>
        </w:rPr>
      </w:pPr>
    </w:p>
    <w:p w14:paraId="4ABB7641" w14:textId="75E453F4" w:rsidR="000D5B69" w:rsidRDefault="00D91ECB">
      <w:pPr>
        <w:rPr>
          <w:color w:val="auto"/>
        </w:rPr>
      </w:pPr>
      <w:r w:rsidRPr="00CE1A25">
        <w:rPr>
          <w:color w:val="auto"/>
        </w:rPr>
        <w:t>Every local care economy is different, but there are no special features of the</w:t>
      </w:r>
      <w:r w:rsidR="00934521" w:rsidRPr="00CE1A25">
        <w:rPr>
          <w:color w:val="auto"/>
        </w:rPr>
        <w:t xml:space="preserve"> Sheffield care home </w:t>
      </w:r>
      <w:r w:rsidRPr="00CE1A25">
        <w:rPr>
          <w:color w:val="auto"/>
        </w:rPr>
        <w:t xml:space="preserve">market which justify variation of the analytical approach adopted for other councils that LaingBuisson </w:t>
      </w:r>
      <w:r w:rsidR="008F2FAA" w:rsidRPr="00CE1A25">
        <w:rPr>
          <w:color w:val="auto"/>
        </w:rPr>
        <w:t>ha</w:t>
      </w:r>
      <w:r w:rsidRPr="00CE1A25">
        <w:rPr>
          <w:color w:val="auto"/>
        </w:rPr>
        <w:t>s support</w:t>
      </w:r>
      <w:r w:rsidR="008F2FAA" w:rsidRPr="00CE1A25">
        <w:rPr>
          <w:color w:val="auto"/>
        </w:rPr>
        <w:t>ed</w:t>
      </w:r>
      <w:r w:rsidRPr="00CE1A25">
        <w:rPr>
          <w:color w:val="auto"/>
        </w:rPr>
        <w:t xml:space="preserve"> in the national FCoC exercise</w:t>
      </w:r>
      <w:r>
        <w:rPr>
          <w:color w:val="auto"/>
        </w:rPr>
        <w:t>.</w:t>
      </w:r>
    </w:p>
    <w:p w14:paraId="3D7559BE" w14:textId="77777777" w:rsidR="00D91ECB" w:rsidRPr="00D91ECB" w:rsidRDefault="00D91ECB">
      <w:pPr>
        <w:rPr>
          <w:color w:val="auto"/>
        </w:rPr>
      </w:pPr>
    </w:p>
    <w:p w14:paraId="422CC7B2" w14:textId="276DEC2B" w:rsidR="008C2C4A" w:rsidRPr="00063160" w:rsidRDefault="008C2C4A" w:rsidP="008C2C4A">
      <w:pPr>
        <w:pStyle w:val="Heading2"/>
        <w:spacing w:line="280" w:lineRule="exact"/>
        <w:ind w:right="0"/>
      </w:pPr>
      <w:bookmarkStart w:id="45" w:name="_Toc116555565"/>
      <w:r>
        <w:t>2.1</w:t>
      </w:r>
      <w:r w:rsidR="009724D3">
        <w:t>4</w:t>
      </w:r>
      <w:r>
        <w:t xml:space="preserve"> Conclusions</w:t>
      </w:r>
      <w:bookmarkEnd w:id="45"/>
    </w:p>
    <w:p w14:paraId="44E9EB4F" w14:textId="05B59DC1" w:rsidR="008C2C4A" w:rsidRDefault="008C2C4A" w:rsidP="007C4C3E">
      <w:pPr>
        <w:spacing w:after="0" w:line="280" w:lineRule="exact"/>
        <w:jc w:val="both"/>
      </w:pPr>
    </w:p>
    <w:p w14:paraId="5B5A6F25" w14:textId="770DAAC5" w:rsidR="00DC73D9" w:rsidRPr="00CE1A25" w:rsidRDefault="00DC73D9" w:rsidP="00DC73D9">
      <w:pPr>
        <w:rPr>
          <w:color w:val="auto"/>
          <w:lang w:eastAsia="en-GB"/>
        </w:rPr>
      </w:pPr>
      <w:r w:rsidRPr="00CE1A25">
        <w:rPr>
          <w:color w:val="auto"/>
          <w:lang w:eastAsia="en-GB"/>
        </w:rPr>
        <w:t xml:space="preserve">The key item of data that the national FCoC exercise has sought to reveal is the </w:t>
      </w:r>
      <w:r w:rsidR="00A66A41" w:rsidRPr="00CE1A25">
        <w:rPr>
          <w:color w:val="auto"/>
          <w:lang w:eastAsia="en-GB"/>
        </w:rPr>
        <w:t xml:space="preserve">‘fee </w:t>
      </w:r>
      <w:r w:rsidRPr="00CE1A25">
        <w:rPr>
          <w:color w:val="auto"/>
          <w:lang w:eastAsia="en-GB"/>
        </w:rPr>
        <w:t>gap</w:t>
      </w:r>
      <w:r w:rsidR="00A66A41" w:rsidRPr="00CE1A25">
        <w:rPr>
          <w:color w:val="auto"/>
          <w:lang w:eastAsia="en-GB"/>
        </w:rPr>
        <w:t>’</w:t>
      </w:r>
      <w:r w:rsidRPr="00CE1A25">
        <w:rPr>
          <w:color w:val="auto"/>
          <w:lang w:eastAsia="en-GB"/>
        </w:rPr>
        <w:t xml:space="preserve"> (if any) between the calculated median cost of care and the fee rates currently being paid by councils, in order to inform policy decisions on the quantum of the gap to fill (if any) and the pace at which it can be filled with the resources available. </w:t>
      </w:r>
    </w:p>
    <w:p w14:paraId="215575FC" w14:textId="1ABDE703" w:rsidR="0020408D" w:rsidRDefault="0020408D" w:rsidP="0020408D">
      <w:pPr>
        <w:rPr>
          <w:color w:val="7030A0"/>
        </w:rPr>
      </w:pPr>
      <w:r w:rsidRPr="003F098B">
        <w:rPr>
          <w:color w:val="7030A0"/>
        </w:rPr>
        <w:t xml:space="preserve"> </w:t>
      </w:r>
    </w:p>
    <w:p w14:paraId="0D2CE4A6" w14:textId="212E732B" w:rsidR="00934521" w:rsidRDefault="00934521" w:rsidP="00934521">
      <w:pPr>
        <w:pStyle w:val="Heading3"/>
        <w:spacing w:line="280" w:lineRule="exact"/>
        <w:ind w:right="0"/>
      </w:pPr>
      <w:bookmarkStart w:id="46" w:name="_Toc115260210"/>
      <w:bookmarkStart w:id="47" w:name="_Toc116555566"/>
      <w:r>
        <w:lastRenderedPageBreak/>
        <w:t>2</w:t>
      </w:r>
      <w:r w:rsidR="00305756">
        <w:t>.</w:t>
      </w:r>
      <w:r>
        <w:t>14.1 Residential care</w:t>
      </w:r>
      <w:bookmarkEnd w:id="46"/>
      <w:bookmarkEnd w:id="47"/>
    </w:p>
    <w:p w14:paraId="0E4C6F80" w14:textId="77777777" w:rsidR="00934521" w:rsidRDefault="00934521" w:rsidP="00934521">
      <w:pPr>
        <w:spacing w:after="0" w:line="280" w:lineRule="exact"/>
        <w:jc w:val="both"/>
        <w:rPr>
          <w:color w:val="auto"/>
        </w:rPr>
      </w:pPr>
    </w:p>
    <w:p w14:paraId="255E4802" w14:textId="5F2F548F" w:rsidR="00934521" w:rsidRPr="00CE1A25" w:rsidRDefault="00934521" w:rsidP="00934521">
      <w:pPr>
        <w:spacing w:after="0" w:line="280" w:lineRule="exact"/>
        <w:jc w:val="both"/>
        <w:rPr>
          <w:color w:val="auto"/>
        </w:rPr>
      </w:pPr>
      <w:r w:rsidRPr="00CE1A25">
        <w:rPr>
          <w:color w:val="auto"/>
        </w:rPr>
        <w:t>For residential care, the median fee currently (post-April 2022) being paid by Sheffield</w:t>
      </w:r>
      <w:r w:rsidR="00CE1A25">
        <w:rPr>
          <w:color w:val="auto"/>
        </w:rPr>
        <w:t xml:space="preserve"> </w:t>
      </w:r>
      <w:r w:rsidRPr="00CE1A25">
        <w:rPr>
          <w:color w:val="auto"/>
        </w:rPr>
        <w:t>Council is £547 per week. About three-quarters of council placements are at this basic rate. The remaining quarter vary upwards according to higher than usual needs, bringing the council’s average fee up to £661 per week. In order to compare like with like, both FCoC and Sheffield’s rates are represented as medians in Figure 2.</w:t>
      </w:r>
    </w:p>
    <w:p w14:paraId="2CFD4BA5" w14:textId="77777777" w:rsidR="00934521" w:rsidRPr="00CE1A25" w:rsidRDefault="00934521" w:rsidP="00934521">
      <w:pPr>
        <w:spacing w:after="0" w:line="280" w:lineRule="exact"/>
        <w:jc w:val="both"/>
        <w:rPr>
          <w:color w:val="auto"/>
        </w:rPr>
      </w:pPr>
    </w:p>
    <w:p w14:paraId="0C4BC765" w14:textId="7DF5C048" w:rsidR="00934521" w:rsidRPr="00CE1A25" w:rsidRDefault="00934521" w:rsidP="00934521">
      <w:pPr>
        <w:spacing w:after="0" w:line="280" w:lineRule="exact"/>
        <w:jc w:val="both"/>
        <w:rPr>
          <w:color w:val="auto"/>
        </w:rPr>
      </w:pPr>
      <w:r w:rsidRPr="00CE1A25">
        <w:rPr>
          <w:color w:val="auto"/>
        </w:rPr>
        <w:t>Sheffield Council’s median residential care fee of £547 is £2</w:t>
      </w:r>
      <w:r w:rsidR="000A2D3F">
        <w:rPr>
          <w:color w:val="auto"/>
        </w:rPr>
        <w:t>50</w:t>
      </w:r>
      <w:r w:rsidRPr="00CE1A25">
        <w:rPr>
          <w:color w:val="auto"/>
        </w:rPr>
        <w:t xml:space="preserve"> below the FCoC median for standard residential care and £25</w:t>
      </w:r>
      <w:r w:rsidR="000A2D3F">
        <w:rPr>
          <w:color w:val="auto"/>
        </w:rPr>
        <w:t>9</w:t>
      </w:r>
      <w:r w:rsidRPr="00CE1A25">
        <w:rPr>
          <w:color w:val="auto"/>
        </w:rPr>
        <w:t xml:space="preserve"> below the FCoC median for enhanced residential care, Figure 2.</w:t>
      </w:r>
    </w:p>
    <w:p w14:paraId="522D27FC" w14:textId="77777777" w:rsidR="00934521" w:rsidRPr="00CE1A25" w:rsidRDefault="00934521" w:rsidP="00934521">
      <w:pPr>
        <w:spacing w:after="0" w:line="280" w:lineRule="exact"/>
        <w:jc w:val="both"/>
        <w:rPr>
          <w:color w:val="auto"/>
        </w:rPr>
      </w:pPr>
    </w:p>
    <w:p w14:paraId="2963D487" w14:textId="1D3E2B08" w:rsidR="00934521" w:rsidRPr="00CE1A25" w:rsidRDefault="00934521" w:rsidP="00934521">
      <w:pPr>
        <w:spacing w:after="0" w:line="280" w:lineRule="exact"/>
        <w:jc w:val="both"/>
        <w:rPr>
          <w:color w:val="auto"/>
        </w:rPr>
      </w:pPr>
      <w:r w:rsidRPr="00CE1A25">
        <w:rPr>
          <w:color w:val="auto"/>
        </w:rPr>
        <w:t>The FCoC medians, however, are subject to margins of error, and the lower bounds of the 95% confidence interval are £7</w:t>
      </w:r>
      <w:r w:rsidR="000A2D3F">
        <w:rPr>
          <w:color w:val="auto"/>
        </w:rPr>
        <w:t>4</w:t>
      </w:r>
      <w:r w:rsidRPr="00CE1A25">
        <w:rPr>
          <w:color w:val="auto"/>
        </w:rPr>
        <w:t>3 and £76</w:t>
      </w:r>
      <w:r w:rsidR="000A2D3F">
        <w:rPr>
          <w:color w:val="auto"/>
        </w:rPr>
        <w:t>4</w:t>
      </w:r>
      <w:r w:rsidRPr="00CE1A25">
        <w:rPr>
          <w:color w:val="auto"/>
        </w:rPr>
        <w:t xml:space="preserve"> respectively for standard and enhanced residential care. Therefore, the Council can be confident that there is a real ‘fee gap’ and that the minimum quantum of this ‘fee gap’ is £</w:t>
      </w:r>
      <w:r w:rsidR="000A2D3F">
        <w:rPr>
          <w:color w:val="auto"/>
        </w:rPr>
        <w:t>19</w:t>
      </w:r>
      <w:r w:rsidRPr="00CE1A25">
        <w:rPr>
          <w:color w:val="auto"/>
        </w:rPr>
        <w:t>6 and £21</w:t>
      </w:r>
      <w:r w:rsidR="000A2D3F">
        <w:rPr>
          <w:color w:val="auto"/>
        </w:rPr>
        <w:t>7</w:t>
      </w:r>
      <w:r w:rsidRPr="00CE1A25">
        <w:rPr>
          <w:color w:val="auto"/>
        </w:rPr>
        <w:t xml:space="preserve"> respectively for standard and enhanced residential care, being the gap between what the council is paying now and the lower bounds of the 95% confidence limits of the calculated FCoC medians. </w:t>
      </w:r>
      <w:r w:rsidRPr="00CE1A25">
        <w:rPr>
          <w:b/>
          <w:bCs/>
          <w:color w:val="auto"/>
        </w:rPr>
        <w:t>There is, therefore, evidence to support an increase in the council’s residential care fee rate by a little over £200 per week, subject to available resources.</w:t>
      </w:r>
    </w:p>
    <w:p w14:paraId="75DCFAAF" w14:textId="77777777" w:rsidR="00934521" w:rsidRDefault="00934521" w:rsidP="00934521"/>
    <w:p w14:paraId="3989FBE4" w14:textId="77777777" w:rsidR="00934521" w:rsidRDefault="00934521" w:rsidP="00934521">
      <w:pPr>
        <w:pStyle w:val="Heading3"/>
        <w:spacing w:line="280" w:lineRule="exact"/>
        <w:ind w:right="0"/>
      </w:pPr>
      <w:bookmarkStart w:id="48" w:name="_Toc115260211"/>
      <w:bookmarkStart w:id="49" w:name="_Toc116555567"/>
      <w:r>
        <w:t>2.14.2 Nursing care</w:t>
      </w:r>
      <w:bookmarkEnd w:id="48"/>
      <w:bookmarkEnd w:id="49"/>
    </w:p>
    <w:p w14:paraId="7D913E74" w14:textId="77777777" w:rsidR="00934521" w:rsidRDefault="00934521" w:rsidP="00934521">
      <w:pPr>
        <w:spacing w:after="0" w:line="280" w:lineRule="exact"/>
        <w:jc w:val="both"/>
        <w:rPr>
          <w:color w:val="auto"/>
        </w:rPr>
      </w:pPr>
    </w:p>
    <w:p w14:paraId="4815E62B" w14:textId="20CAE2B9" w:rsidR="00934521" w:rsidRPr="00CE1A25" w:rsidRDefault="00934521" w:rsidP="00934521">
      <w:pPr>
        <w:spacing w:after="0" w:line="280" w:lineRule="exact"/>
        <w:jc w:val="both"/>
        <w:rPr>
          <w:color w:val="auto"/>
        </w:rPr>
      </w:pPr>
      <w:r>
        <w:rPr>
          <w:color w:val="auto"/>
        </w:rPr>
        <w:t>For nursing care, the median fee currently (post-April 2022) being paid by Sheffield Council is £756 per week (£547 + £209 NHS FNC). About three-</w:t>
      </w:r>
      <w:r w:rsidRPr="00CE1A25">
        <w:rPr>
          <w:color w:val="auto"/>
        </w:rPr>
        <w:t>quarters of council placements are at this basic rate. The remaining quarter vary upwards according to higher than usual needs, bringing the council’s average fee up to £933 per week. In order to compare like with like, both FCoC and Sheffield’s rates are represented as medians in Figure 2.</w:t>
      </w:r>
    </w:p>
    <w:p w14:paraId="0B2BED8B" w14:textId="77777777" w:rsidR="00934521" w:rsidRPr="00CE1A25" w:rsidRDefault="00934521" w:rsidP="00934521">
      <w:pPr>
        <w:spacing w:after="0" w:line="280" w:lineRule="exact"/>
        <w:jc w:val="both"/>
        <w:rPr>
          <w:color w:val="auto"/>
        </w:rPr>
      </w:pPr>
    </w:p>
    <w:p w14:paraId="2F44B2E2" w14:textId="579664D0" w:rsidR="00934521" w:rsidRPr="00CE1A25" w:rsidRDefault="00934521" w:rsidP="00934521">
      <w:pPr>
        <w:spacing w:after="0" w:line="280" w:lineRule="exact"/>
        <w:jc w:val="both"/>
        <w:rPr>
          <w:color w:val="auto"/>
        </w:rPr>
      </w:pPr>
      <w:r w:rsidRPr="00CE1A25">
        <w:rPr>
          <w:color w:val="auto"/>
        </w:rPr>
        <w:t>Sheffield Council’s median nursing care fee of £756 (including NHS FNC) is £2</w:t>
      </w:r>
      <w:r w:rsidR="000A2D3F">
        <w:rPr>
          <w:color w:val="auto"/>
        </w:rPr>
        <w:t>20</w:t>
      </w:r>
      <w:r w:rsidRPr="00CE1A25">
        <w:rPr>
          <w:color w:val="auto"/>
        </w:rPr>
        <w:t xml:space="preserve"> below the FCoC median for standard </w:t>
      </w:r>
      <w:r w:rsidR="00AC57EE">
        <w:rPr>
          <w:color w:val="auto"/>
        </w:rPr>
        <w:t>nursing</w:t>
      </w:r>
      <w:r w:rsidRPr="00CE1A25">
        <w:rPr>
          <w:color w:val="auto"/>
        </w:rPr>
        <w:t xml:space="preserve"> care and £283 below the FCoC median for enhanced </w:t>
      </w:r>
      <w:r w:rsidR="00AC57EE">
        <w:rPr>
          <w:color w:val="auto"/>
        </w:rPr>
        <w:t>nursing</w:t>
      </w:r>
      <w:r w:rsidRPr="00CE1A25">
        <w:rPr>
          <w:color w:val="auto"/>
        </w:rPr>
        <w:t xml:space="preserve"> care, Figure 2.</w:t>
      </w:r>
    </w:p>
    <w:p w14:paraId="798F4338" w14:textId="77777777" w:rsidR="00934521" w:rsidRPr="00CE1A25" w:rsidRDefault="00934521" w:rsidP="00934521">
      <w:pPr>
        <w:spacing w:after="0" w:line="280" w:lineRule="exact"/>
        <w:jc w:val="both"/>
        <w:rPr>
          <w:color w:val="auto"/>
        </w:rPr>
      </w:pPr>
    </w:p>
    <w:p w14:paraId="0812A140" w14:textId="4C6E6B2B" w:rsidR="00934521" w:rsidRPr="00CE1A25" w:rsidRDefault="00934521" w:rsidP="00934521">
      <w:pPr>
        <w:spacing w:after="0" w:line="280" w:lineRule="exact"/>
        <w:jc w:val="both"/>
        <w:rPr>
          <w:color w:val="auto"/>
        </w:rPr>
      </w:pPr>
      <w:r w:rsidRPr="00CE1A25">
        <w:rPr>
          <w:color w:val="auto"/>
        </w:rPr>
        <w:t>The FCoC medians, however, are subject to margins of error, and the lower bounds of the 95% confidence interval are £8</w:t>
      </w:r>
      <w:r w:rsidR="000A2D3F">
        <w:rPr>
          <w:color w:val="auto"/>
        </w:rPr>
        <w:t>76</w:t>
      </w:r>
      <w:r w:rsidRPr="00CE1A25">
        <w:rPr>
          <w:color w:val="auto"/>
        </w:rPr>
        <w:t xml:space="preserve"> and £91</w:t>
      </w:r>
      <w:r w:rsidR="000A2D3F">
        <w:rPr>
          <w:color w:val="auto"/>
        </w:rPr>
        <w:t>1</w:t>
      </w:r>
      <w:r w:rsidRPr="00CE1A25">
        <w:rPr>
          <w:color w:val="auto"/>
        </w:rPr>
        <w:t xml:space="preserve"> respectively for standard and enhanced </w:t>
      </w:r>
      <w:r w:rsidR="00AC57EE">
        <w:rPr>
          <w:color w:val="auto"/>
        </w:rPr>
        <w:t>nursing</w:t>
      </w:r>
      <w:r w:rsidRPr="00CE1A25">
        <w:rPr>
          <w:color w:val="auto"/>
        </w:rPr>
        <w:t xml:space="preserve"> care. Therefore, the Council can be confident that there is a real ‘fee gap’ and that the minimum quantum of this ‘fee gap’ is £1</w:t>
      </w:r>
      <w:r w:rsidR="002E1CE9">
        <w:rPr>
          <w:color w:val="auto"/>
        </w:rPr>
        <w:t>20</w:t>
      </w:r>
      <w:r w:rsidRPr="00CE1A25">
        <w:rPr>
          <w:color w:val="auto"/>
        </w:rPr>
        <w:t xml:space="preserve"> and £15</w:t>
      </w:r>
      <w:r w:rsidR="002E1CE9">
        <w:rPr>
          <w:color w:val="auto"/>
        </w:rPr>
        <w:t>5</w:t>
      </w:r>
      <w:r w:rsidRPr="00CE1A25">
        <w:rPr>
          <w:color w:val="auto"/>
        </w:rPr>
        <w:t xml:space="preserve"> respectively for standard and enhanced nursing care, being the gap between what the council is paying now and the lower bounds of the 95% confidence limits of the calculated FCoC medians. </w:t>
      </w:r>
      <w:r w:rsidRPr="00CE1A25">
        <w:rPr>
          <w:b/>
          <w:bCs/>
          <w:color w:val="auto"/>
        </w:rPr>
        <w:t>There is, therefore, evidence to support an increase in the council’s nursing care rate by substantially more than £100 per week, subject to available resources.</w:t>
      </w:r>
    </w:p>
    <w:p w14:paraId="4DC0C8ED" w14:textId="77777777" w:rsidR="00934521" w:rsidRDefault="00934521" w:rsidP="00934521">
      <w:pPr>
        <w:spacing w:after="0" w:line="280" w:lineRule="exact"/>
        <w:jc w:val="both"/>
        <w:rPr>
          <w:b/>
          <w:bCs/>
          <w:color w:val="auto"/>
        </w:rPr>
      </w:pPr>
    </w:p>
    <w:p w14:paraId="77E8FA2B" w14:textId="77777777" w:rsidR="00934521" w:rsidRPr="00C53883" w:rsidRDefault="00934521" w:rsidP="00934521">
      <w:pPr>
        <w:spacing w:after="0" w:line="280" w:lineRule="exact"/>
        <w:jc w:val="both"/>
        <w:rPr>
          <w:color w:val="auto"/>
        </w:rPr>
      </w:pPr>
    </w:p>
    <w:p w14:paraId="3FD24E2A" w14:textId="77777777" w:rsidR="00934521" w:rsidRDefault="00934521" w:rsidP="00934521">
      <w:pPr>
        <w:pStyle w:val="Heading3"/>
      </w:pPr>
      <w:bookmarkStart w:id="50" w:name="_Toc115260212"/>
      <w:bookmarkStart w:id="51" w:name="_Toc116555568"/>
      <w:r>
        <w:lastRenderedPageBreak/>
        <w:t>2.14.3 Segmentation into standard and enhanced care</w:t>
      </w:r>
      <w:bookmarkEnd w:id="50"/>
      <w:bookmarkEnd w:id="51"/>
    </w:p>
    <w:p w14:paraId="020D758E" w14:textId="77777777" w:rsidR="00934521" w:rsidRPr="00731849" w:rsidRDefault="00934521" w:rsidP="00934521">
      <w:pPr>
        <w:spacing w:after="0" w:line="280" w:lineRule="exact"/>
        <w:jc w:val="both"/>
        <w:rPr>
          <w:color w:val="auto"/>
        </w:rPr>
      </w:pPr>
    </w:p>
    <w:p w14:paraId="59638953" w14:textId="77777777" w:rsidR="00934521" w:rsidRPr="00CE1A25" w:rsidRDefault="00934521" w:rsidP="00934521">
      <w:pPr>
        <w:spacing w:after="0" w:line="280" w:lineRule="exact"/>
        <w:jc w:val="both"/>
        <w:rPr>
          <w:color w:val="auto"/>
        </w:rPr>
      </w:pPr>
      <w:r w:rsidRPr="00CE1A25">
        <w:rPr>
          <w:color w:val="auto"/>
        </w:rPr>
        <w:t>In many ways, the segmentation into standard and enhanced care in the DHSC reporting template is unhelpful. There is no clear definition of ‘enhanced’ in the CareCubed cost collection tool (though it was widely interpreted as dementia). Second, the segmentation is not necessarily aligned with the tiered fee rates that local authorities have adopted to recognise the variability of needs that they are purchasing care for. Third, the segmentation means that FCoC medians must be calculated on smaller numbers of respondents than otherwise, meaning that the margins of error are wider and anomalies such as enhanced care medians turning out higher than standard care are more likely to occur.</w:t>
      </w:r>
    </w:p>
    <w:p w14:paraId="5A980C98" w14:textId="77777777" w:rsidR="00934521" w:rsidRPr="00CE1A25" w:rsidRDefault="00934521" w:rsidP="00934521">
      <w:pPr>
        <w:spacing w:after="0" w:line="280" w:lineRule="exact"/>
        <w:jc w:val="both"/>
        <w:rPr>
          <w:color w:val="auto"/>
        </w:rPr>
      </w:pPr>
    </w:p>
    <w:p w14:paraId="16281317" w14:textId="77777777" w:rsidR="00934521" w:rsidRPr="00CE1A25" w:rsidRDefault="00934521" w:rsidP="00934521">
      <w:pPr>
        <w:spacing w:after="0" w:line="280" w:lineRule="exact"/>
        <w:jc w:val="both"/>
        <w:rPr>
          <w:color w:val="auto"/>
        </w:rPr>
      </w:pPr>
      <w:r w:rsidRPr="00CE1A25">
        <w:rPr>
          <w:color w:val="auto"/>
        </w:rPr>
        <w:t>The minimum ‘fee fap’ derived from the FCoC exercise may have been clearer if segmentation had been simplified to nursing and residential care only. This would have led to greater certainty (lower margins of error) in the calculated medians, and greater certainty on the ‘fee gap’ (if any), leaving local authorities with a simpler target of setting locally appropriate tiers of fee rates such as to move the overall average fees they pay towards the single target median (one for nursing and one for residential), subject to the availability of resources.</w:t>
      </w:r>
    </w:p>
    <w:p w14:paraId="1A71141A" w14:textId="77777777" w:rsidR="00934521" w:rsidRPr="00CE1A25" w:rsidRDefault="00934521" w:rsidP="00934521">
      <w:pPr>
        <w:jc w:val="both"/>
        <w:rPr>
          <w:color w:val="auto"/>
        </w:rPr>
      </w:pPr>
    </w:p>
    <w:p w14:paraId="7F1CEC81" w14:textId="77777777" w:rsidR="00934521" w:rsidRPr="00CE1A25" w:rsidRDefault="00934521" w:rsidP="00934521">
      <w:pPr>
        <w:jc w:val="both"/>
        <w:rPr>
          <w:rFonts w:eastAsia="Times New Roman" w:cs="Times New Roman"/>
          <w:color w:val="auto"/>
          <w:sz w:val="32"/>
          <w:szCs w:val="32"/>
          <w:lang w:eastAsia="en-GB"/>
        </w:rPr>
      </w:pPr>
      <w:r w:rsidRPr="00CE1A25">
        <w:rPr>
          <w:color w:val="auto"/>
          <w:lang w:eastAsia="en-GB"/>
        </w:rPr>
        <w:t>The latest DHSC guidance, dated 25 August 2022, effectively recognises that market segmentation is best left to local discretion: ‘</w:t>
      </w:r>
      <w:r w:rsidRPr="00CE1A25">
        <w:rPr>
          <w:i/>
          <w:iCs/>
          <w:color w:val="auto"/>
          <w:lang w:eastAsia="en-GB"/>
        </w:rPr>
        <w:t>median figures for the broad service types within scope (standard residential care, residential care for enhanced needs, standard nursing care and nursing care for enhanced needs)’ … ‘may oversimplify what is a complex picture of care and support needs.’ …’ As many local authorities move towards paying the fair cost of care, it is expected that actual fee rates paid may differ due to such factors as rurality, personalisation of care, quality of provision and wider market circumstances</w:t>
      </w:r>
      <w:r w:rsidRPr="00CE1A25">
        <w:rPr>
          <w:color w:val="auto"/>
          <w:lang w:eastAsia="en-GB"/>
        </w:rPr>
        <w:t>.’</w:t>
      </w:r>
    </w:p>
    <w:p w14:paraId="7110C360" w14:textId="77777777" w:rsidR="008C2C4A" w:rsidRDefault="008C2C4A">
      <w:pPr>
        <w:rPr>
          <w:rFonts w:eastAsia="Times New Roman" w:cs="Times New Roman"/>
          <w:color w:val="941F64"/>
          <w:sz w:val="32"/>
          <w:szCs w:val="32"/>
          <w:lang w:eastAsia="en-GB"/>
        </w:rPr>
      </w:pPr>
      <w:r w:rsidRPr="00CE1A25">
        <w:rPr>
          <w:color w:val="auto"/>
          <w:szCs w:val="32"/>
        </w:rPr>
        <w:br w:type="page"/>
      </w:r>
    </w:p>
    <w:p w14:paraId="1BB16B45" w14:textId="4A81CFE1" w:rsidR="00690070" w:rsidRPr="00690070" w:rsidRDefault="006C3538" w:rsidP="00690070">
      <w:pPr>
        <w:pStyle w:val="Heading1"/>
        <w:rPr>
          <w:szCs w:val="32"/>
        </w:rPr>
      </w:pPr>
      <w:bookmarkStart w:id="52" w:name="_Toc116555569"/>
      <w:r>
        <w:rPr>
          <w:szCs w:val="32"/>
        </w:rPr>
        <w:lastRenderedPageBreak/>
        <w:t>APPENDIX 1 EVIDENCE BASE FOR RETURN ON CAPITAL AND OPERATING PROFIT PARAMETERS</w:t>
      </w:r>
      <w:bookmarkEnd w:id="52"/>
    </w:p>
    <w:p w14:paraId="006D069E" w14:textId="77777777" w:rsidR="00387F3C" w:rsidRDefault="00387F3C" w:rsidP="00FC01A6">
      <w:pPr>
        <w:spacing w:after="0" w:line="280" w:lineRule="exact"/>
        <w:jc w:val="both"/>
        <w:rPr>
          <w:lang w:eastAsia="en-GB"/>
        </w:rPr>
      </w:pPr>
    </w:p>
    <w:p w14:paraId="71A398FD" w14:textId="77777777" w:rsidR="00B707EF" w:rsidRDefault="006C3538" w:rsidP="00B707EF">
      <w:pPr>
        <w:pStyle w:val="Heading2"/>
      </w:pPr>
      <w:bookmarkStart w:id="53" w:name="_Toc116555570"/>
      <w:r>
        <w:t>A1</w:t>
      </w:r>
      <w:r w:rsidR="00BD1A74">
        <w:t>.1</w:t>
      </w:r>
      <w:r>
        <w:t xml:space="preserve"> Introduction</w:t>
      </w:r>
      <w:bookmarkEnd w:id="53"/>
    </w:p>
    <w:p w14:paraId="2C310797" w14:textId="77777777" w:rsidR="00B707EF" w:rsidRDefault="00B707EF" w:rsidP="00FC01A6">
      <w:pPr>
        <w:spacing w:after="0" w:line="280" w:lineRule="exact"/>
        <w:jc w:val="both"/>
        <w:rPr>
          <w:lang w:eastAsia="en-GB"/>
        </w:rPr>
      </w:pPr>
    </w:p>
    <w:p w14:paraId="6FFCFD9A" w14:textId="1B316894" w:rsidR="005B474C" w:rsidRPr="001C139B" w:rsidRDefault="006C3538" w:rsidP="00FC01A6">
      <w:pPr>
        <w:spacing w:after="0" w:line="280" w:lineRule="exact"/>
        <w:jc w:val="both"/>
        <w:rPr>
          <w:color w:val="auto"/>
          <w:lang w:eastAsia="en-GB"/>
        </w:rPr>
      </w:pPr>
      <w:r w:rsidRPr="001C139B">
        <w:rPr>
          <w:color w:val="auto"/>
          <w:lang w:eastAsia="en-GB"/>
        </w:rPr>
        <w:t xml:space="preserve">Total </w:t>
      </w:r>
      <w:r w:rsidR="007344C8" w:rsidRPr="001C139B">
        <w:rPr>
          <w:color w:val="auto"/>
          <w:lang w:eastAsia="en-GB"/>
        </w:rPr>
        <w:t>c</w:t>
      </w:r>
      <w:r w:rsidRPr="001C139B">
        <w:rPr>
          <w:color w:val="auto"/>
          <w:lang w:eastAsia="en-GB"/>
        </w:rPr>
        <w:t>osts</w:t>
      </w:r>
      <w:r w:rsidR="00D51D59" w:rsidRPr="001C139B">
        <w:rPr>
          <w:color w:val="auto"/>
          <w:lang w:eastAsia="en-GB"/>
        </w:rPr>
        <w:t xml:space="preserve"> of care services are made up of Operating Costs, derived from responses to validated toolkits</w:t>
      </w:r>
      <w:r w:rsidR="00C625C2" w:rsidRPr="001C139B">
        <w:rPr>
          <w:color w:val="auto"/>
          <w:lang w:eastAsia="en-GB"/>
        </w:rPr>
        <w:t>,</w:t>
      </w:r>
      <w:r w:rsidR="00D51D59" w:rsidRPr="001C139B">
        <w:rPr>
          <w:color w:val="auto"/>
          <w:lang w:eastAsia="en-GB"/>
        </w:rPr>
        <w:t xml:space="preserve"> plus the following two items</w:t>
      </w:r>
      <w:r w:rsidR="000764D8" w:rsidRPr="001C139B">
        <w:rPr>
          <w:color w:val="auto"/>
          <w:lang w:eastAsia="en-GB"/>
        </w:rPr>
        <w:t>,</w:t>
      </w:r>
      <w:r w:rsidR="00D51D59" w:rsidRPr="001C139B">
        <w:rPr>
          <w:color w:val="auto"/>
          <w:lang w:eastAsia="en-GB"/>
        </w:rPr>
        <w:t xml:space="preserve"> which </w:t>
      </w:r>
      <w:r w:rsidR="00C625C2" w:rsidRPr="001C139B">
        <w:rPr>
          <w:color w:val="auto"/>
          <w:lang w:eastAsia="en-GB"/>
        </w:rPr>
        <w:t>DHSC advises may be determined by councils based on available evidence</w:t>
      </w:r>
      <w:r w:rsidRPr="001C139B">
        <w:rPr>
          <w:color w:val="auto"/>
          <w:lang w:eastAsia="en-GB"/>
        </w:rPr>
        <w:t>:</w:t>
      </w:r>
    </w:p>
    <w:p w14:paraId="5799DD4D" w14:textId="77777777" w:rsidR="00B707EF" w:rsidRPr="001C139B" w:rsidRDefault="00B707EF" w:rsidP="00FC01A6">
      <w:pPr>
        <w:spacing w:after="0" w:line="280" w:lineRule="exact"/>
        <w:jc w:val="both"/>
        <w:rPr>
          <w:color w:val="auto"/>
          <w:lang w:eastAsia="en-GB"/>
        </w:rPr>
      </w:pPr>
    </w:p>
    <w:p w14:paraId="44CBC397" w14:textId="77777777" w:rsidR="00B707EF" w:rsidRPr="001C139B" w:rsidRDefault="006C3538" w:rsidP="00182F79">
      <w:pPr>
        <w:pStyle w:val="ListParagraph"/>
        <w:numPr>
          <w:ilvl w:val="0"/>
          <w:numId w:val="38"/>
        </w:numPr>
        <w:spacing w:line="280" w:lineRule="exact"/>
        <w:jc w:val="both"/>
        <w:rPr>
          <w:color w:val="auto"/>
        </w:rPr>
      </w:pPr>
      <w:r w:rsidRPr="001C139B">
        <w:rPr>
          <w:color w:val="auto"/>
        </w:rPr>
        <w:t xml:space="preserve">Return on </w:t>
      </w:r>
      <w:r w:rsidR="00182E7E" w:rsidRPr="001C139B">
        <w:rPr>
          <w:color w:val="auto"/>
        </w:rPr>
        <w:t>C</w:t>
      </w:r>
      <w:r w:rsidRPr="001C139B">
        <w:rPr>
          <w:color w:val="auto"/>
        </w:rPr>
        <w:t>apital invested in accommodation assets PLUS return on operations, for care homes (65+)</w:t>
      </w:r>
      <w:r w:rsidR="004F36AB" w:rsidRPr="001C139B">
        <w:rPr>
          <w:color w:val="auto"/>
        </w:rPr>
        <w:t>;</w:t>
      </w:r>
      <w:r w:rsidR="000764D8" w:rsidRPr="001C139B">
        <w:rPr>
          <w:color w:val="auto"/>
        </w:rPr>
        <w:t xml:space="preserve"> and</w:t>
      </w:r>
    </w:p>
    <w:p w14:paraId="581B51EB" w14:textId="77777777" w:rsidR="004F36AB" w:rsidRPr="001C139B" w:rsidRDefault="004F36AB" w:rsidP="00504A3D">
      <w:pPr>
        <w:spacing w:line="280" w:lineRule="exact"/>
        <w:jc w:val="both"/>
        <w:rPr>
          <w:color w:val="auto"/>
        </w:rPr>
      </w:pPr>
    </w:p>
    <w:p w14:paraId="2B228AF3" w14:textId="77777777" w:rsidR="00B707EF" w:rsidRPr="001C139B" w:rsidRDefault="006C3538" w:rsidP="00182F79">
      <w:pPr>
        <w:pStyle w:val="ListParagraph"/>
        <w:numPr>
          <w:ilvl w:val="0"/>
          <w:numId w:val="38"/>
        </w:numPr>
        <w:spacing w:line="280" w:lineRule="exact"/>
        <w:jc w:val="both"/>
        <w:rPr>
          <w:color w:val="auto"/>
        </w:rPr>
      </w:pPr>
      <w:r w:rsidRPr="001C139B">
        <w:rPr>
          <w:color w:val="auto"/>
        </w:rPr>
        <w:t xml:space="preserve">Return on </w:t>
      </w:r>
      <w:r w:rsidR="00182E7E" w:rsidRPr="001C139B">
        <w:rPr>
          <w:color w:val="auto"/>
        </w:rPr>
        <w:t>O</w:t>
      </w:r>
      <w:r w:rsidRPr="001C139B">
        <w:rPr>
          <w:color w:val="auto"/>
        </w:rPr>
        <w:t>perations only for domiciliary care (18+)</w:t>
      </w:r>
    </w:p>
    <w:p w14:paraId="6739594D" w14:textId="77777777" w:rsidR="00926205" w:rsidRPr="001C139B" w:rsidRDefault="00926205" w:rsidP="00FC01A6">
      <w:pPr>
        <w:spacing w:after="0" w:line="280" w:lineRule="exact"/>
        <w:jc w:val="both"/>
        <w:rPr>
          <w:color w:val="auto"/>
          <w:lang w:eastAsia="en-GB"/>
        </w:rPr>
      </w:pPr>
    </w:p>
    <w:p w14:paraId="1E23D4B0" w14:textId="77777777" w:rsidR="00182E7E" w:rsidRPr="001C139B" w:rsidRDefault="006C3538" w:rsidP="00182E7E">
      <w:pPr>
        <w:spacing w:after="0" w:line="280" w:lineRule="exact"/>
        <w:jc w:val="both"/>
        <w:rPr>
          <w:color w:val="auto"/>
          <w:lang w:eastAsia="en-GB"/>
        </w:rPr>
      </w:pPr>
      <w:r w:rsidRPr="001C139B">
        <w:rPr>
          <w:color w:val="auto"/>
          <w:lang w:eastAsia="en-GB"/>
        </w:rPr>
        <w:t xml:space="preserve">After staffing, return on capital is the second largest cost line for care homes and return on operations is the third largest. </w:t>
      </w:r>
    </w:p>
    <w:p w14:paraId="5FA32520" w14:textId="77777777" w:rsidR="00182E7E" w:rsidRPr="001C139B" w:rsidRDefault="00182E7E" w:rsidP="00FC01A6">
      <w:pPr>
        <w:spacing w:after="0" w:line="280" w:lineRule="exact"/>
        <w:jc w:val="both"/>
        <w:rPr>
          <w:color w:val="auto"/>
          <w:lang w:eastAsia="en-GB"/>
        </w:rPr>
      </w:pPr>
    </w:p>
    <w:p w14:paraId="10D41784" w14:textId="5185BC93" w:rsidR="00182E7E" w:rsidRPr="001C139B" w:rsidRDefault="006C3538" w:rsidP="00F842CC">
      <w:pPr>
        <w:spacing w:after="0" w:line="280" w:lineRule="exact"/>
        <w:jc w:val="both"/>
        <w:rPr>
          <w:color w:val="auto"/>
          <w:lang w:eastAsia="en-GB"/>
        </w:rPr>
      </w:pPr>
      <w:r w:rsidRPr="001C139B">
        <w:rPr>
          <w:color w:val="auto"/>
          <w:lang w:eastAsia="en-GB"/>
        </w:rPr>
        <w:t>DHSC</w:t>
      </w:r>
      <w:r w:rsidR="00DC388D" w:rsidRPr="001C139B">
        <w:rPr>
          <w:color w:val="auto"/>
          <w:lang w:eastAsia="en-GB"/>
        </w:rPr>
        <w:t xml:space="preserve"> guidance</w:t>
      </w:r>
      <w:r w:rsidRPr="001C139B">
        <w:rPr>
          <w:color w:val="auto"/>
          <w:lang w:eastAsia="en-GB"/>
        </w:rPr>
        <w:t xml:space="preserve"> on return on capital</w:t>
      </w:r>
      <w:r w:rsidR="00B91834" w:rsidRPr="001C139B">
        <w:rPr>
          <w:color w:val="auto"/>
          <w:lang w:eastAsia="en-GB"/>
        </w:rPr>
        <w:t>, published on June 29 2022,</w:t>
      </w:r>
      <w:r w:rsidRPr="001C139B">
        <w:rPr>
          <w:color w:val="auto"/>
          <w:lang w:eastAsia="en-GB"/>
        </w:rPr>
        <w:t xml:space="preserve"> </w:t>
      </w:r>
      <w:r w:rsidR="00DC388D" w:rsidRPr="001C139B">
        <w:rPr>
          <w:color w:val="auto"/>
          <w:lang w:eastAsia="en-GB"/>
        </w:rPr>
        <w:t xml:space="preserve">is reproduced in Box </w:t>
      </w:r>
      <w:r w:rsidR="00C625C2" w:rsidRPr="001C139B">
        <w:rPr>
          <w:color w:val="auto"/>
          <w:lang w:eastAsia="en-GB"/>
        </w:rPr>
        <w:t>1</w:t>
      </w:r>
      <w:r w:rsidR="00B91834" w:rsidRPr="001C139B">
        <w:rPr>
          <w:color w:val="auto"/>
          <w:lang w:eastAsia="en-GB"/>
        </w:rPr>
        <w:t>. G</w:t>
      </w:r>
      <w:r w:rsidR="00DC388D" w:rsidRPr="001C139B">
        <w:rPr>
          <w:color w:val="auto"/>
          <w:lang w:eastAsia="en-GB"/>
        </w:rPr>
        <w:t xml:space="preserve">uidance on </w:t>
      </w:r>
      <w:r w:rsidRPr="001C139B">
        <w:rPr>
          <w:color w:val="auto"/>
          <w:lang w:eastAsia="en-GB"/>
        </w:rPr>
        <w:t>return on operations</w:t>
      </w:r>
      <w:r w:rsidR="00DC388D" w:rsidRPr="001C139B">
        <w:rPr>
          <w:color w:val="auto"/>
          <w:lang w:eastAsia="en-GB"/>
        </w:rPr>
        <w:t xml:space="preserve"> </w:t>
      </w:r>
      <w:r w:rsidRPr="001C139B">
        <w:rPr>
          <w:color w:val="auto"/>
          <w:lang w:eastAsia="en-GB"/>
        </w:rPr>
        <w:t xml:space="preserve">is reproduced in Box </w:t>
      </w:r>
      <w:r w:rsidR="00C625C2" w:rsidRPr="001C139B">
        <w:rPr>
          <w:color w:val="auto"/>
          <w:lang w:eastAsia="en-GB"/>
        </w:rPr>
        <w:t>2</w:t>
      </w:r>
      <w:r w:rsidRPr="001C139B">
        <w:rPr>
          <w:color w:val="auto"/>
          <w:lang w:eastAsia="en-GB"/>
        </w:rPr>
        <w:t>.</w:t>
      </w:r>
      <w:r w:rsidR="00C625C2" w:rsidRPr="001C139B">
        <w:rPr>
          <w:color w:val="auto"/>
          <w:lang w:eastAsia="en-GB"/>
        </w:rPr>
        <w:t xml:space="preserve"> </w:t>
      </w:r>
      <w:r w:rsidR="007F6614" w:rsidRPr="001C139B">
        <w:rPr>
          <w:color w:val="auto"/>
          <w:lang w:eastAsia="en-GB"/>
        </w:rPr>
        <w:t xml:space="preserve">DHSC guidance is fully consistent with the framework adopted in LaingBuisson’s Care Cost Benchmarks model, </w:t>
      </w:r>
      <w:r w:rsidR="000B0449" w:rsidRPr="001C139B">
        <w:rPr>
          <w:color w:val="auto"/>
          <w:lang w:eastAsia="en-GB"/>
        </w:rPr>
        <w:t>allowing the latter to be adduced in evidence in the commentary which follows.</w:t>
      </w:r>
    </w:p>
    <w:p w14:paraId="3396E318" w14:textId="77777777" w:rsidR="00AC76EE" w:rsidRPr="001C139B" w:rsidRDefault="00AC76EE" w:rsidP="00F842CC">
      <w:pPr>
        <w:spacing w:after="0" w:line="280" w:lineRule="exact"/>
        <w:jc w:val="both"/>
        <w:rPr>
          <w:color w:val="auto"/>
          <w:lang w:eastAsia="en-GB"/>
        </w:rPr>
      </w:pPr>
    </w:p>
    <w:p w14:paraId="3E92D5C7" w14:textId="77777777" w:rsidR="00255EC7" w:rsidRPr="001C139B" w:rsidRDefault="00255EC7" w:rsidP="00F842CC">
      <w:pPr>
        <w:spacing w:after="0" w:line="280" w:lineRule="exact"/>
        <w:jc w:val="both"/>
        <w:rPr>
          <w:color w:val="auto"/>
          <w:lang w:eastAsia="en-GB"/>
        </w:rPr>
      </w:pPr>
    </w:p>
    <w:tbl>
      <w:tblPr>
        <w:tblStyle w:val="TableGrid"/>
        <w:tblW w:w="0" w:type="auto"/>
        <w:shd w:val="clear" w:color="auto" w:fill="D9D9D9" w:themeFill="background1" w:themeFillShade="D9"/>
        <w:tblLook w:val="04A0" w:firstRow="1" w:lastRow="0" w:firstColumn="1" w:lastColumn="0" w:noHBand="0" w:noVBand="1"/>
      </w:tblPr>
      <w:tblGrid>
        <w:gridCol w:w="13948"/>
      </w:tblGrid>
      <w:tr w:rsidR="001C139B" w:rsidRPr="001C139B" w14:paraId="6C00DBED" w14:textId="77777777" w:rsidTr="00AC76EE">
        <w:tc>
          <w:tcPr>
            <w:tcW w:w="13948" w:type="dxa"/>
            <w:shd w:val="clear" w:color="auto" w:fill="D9D9D9" w:themeFill="background1" w:themeFillShade="D9"/>
          </w:tcPr>
          <w:p w14:paraId="222006C4" w14:textId="77777777" w:rsidR="00AC76EE" w:rsidRPr="001C139B" w:rsidRDefault="006C3538" w:rsidP="00AC76EE">
            <w:pPr>
              <w:pStyle w:val="Heading3"/>
              <w:shd w:val="clear" w:color="auto" w:fill="FFFFFF"/>
              <w:outlineLvl w:val="2"/>
              <w:rPr>
                <w:rFonts w:cs="Arial"/>
                <w:b/>
                <w:bCs/>
                <w:color w:val="auto"/>
                <w:sz w:val="22"/>
                <w:szCs w:val="22"/>
              </w:rPr>
            </w:pPr>
            <w:bookmarkStart w:id="54" w:name="_Toc116555571"/>
            <w:r w:rsidRPr="001C139B">
              <w:rPr>
                <w:rFonts w:cs="Arial"/>
                <w:b/>
                <w:bCs/>
                <w:color w:val="auto"/>
                <w:sz w:val="22"/>
                <w:szCs w:val="22"/>
              </w:rPr>
              <w:t>Box 1 Return on Capital</w:t>
            </w:r>
            <w:r w:rsidR="007344C8" w:rsidRPr="001C139B">
              <w:rPr>
                <w:rFonts w:cs="Arial"/>
                <w:b/>
                <w:bCs/>
                <w:color w:val="auto"/>
                <w:sz w:val="22"/>
                <w:szCs w:val="22"/>
              </w:rPr>
              <w:t xml:space="preserve"> (care homes only)</w:t>
            </w:r>
            <w:bookmarkEnd w:id="54"/>
          </w:p>
          <w:p w14:paraId="41B04E04" w14:textId="77777777" w:rsidR="00AC76EE" w:rsidRPr="001C139B" w:rsidRDefault="006C3538" w:rsidP="00AC76EE">
            <w:pPr>
              <w:pStyle w:val="NormalWeb"/>
              <w:shd w:val="clear" w:color="auto" w:fill="FFFFFF"/>
              <w:spacing w:before="300" w:beforeAutospacing="0" w:after="300" w:afterAutospacing="0"/>
              <w:rPr>
                <w:rFonts w:ascii="Franklin Gothic Book" w:hAnsi="Franklin Gothic Book" w:cs="Arial"/>
                <w:color w:val="auto"/>
                <w:sz w:val="22"/>
                <w:szCs w:val="22"/>
              </w:rPr>
            </w:pPr>
            <w:r w:rsidRPr="001C139B">
              <w:rPr>
                <w:rFonts w:ascii="Franklin Gothic Book" w:hAnsi="Franklin Gothic Book" w:cs="Arial"/>
                <w:color w:val="auto"/>
                <w:sz w:val="22"/>
                <w:szCs w:val="22"/>
              </w:rPr>
              <w:t>Care home cost of care exercises will require local authorities to specify the amounts that they have allowed for both returns on capital and return on operations (expressed as pounds per resident per week, or pounds per contact hour). This is different from a 'whole business return on capital, which includes the return on operations within the return on capital.</w:t>
            </w:r>
          </w:p>
          <w:p w14:paraId="23ADCDDD" w14:textId="77777777" w:rsidR="00AC76EE" w:rsidRPr="001C139B" w:rsidRDefault="006C3538" w:rsidP="00AC76EE">
            <w:pPr>
              <w:pStyle w:val="NormalWeb"/>
              <w:shd w:val="clear" w:color="auto" w:fill="FFFFFF"/>
              <w:spacing w:before="300" w:beforeAutospacing="0" w:after="300" w:afterAutospacing="0"/>
              <w:rPr>
                <w:rFonts w:ascii="Franklin Gothic Book" w:hAnsi="Franklin Gothic Book" w:cs="Arial"/>
                <w:color w:val="auto"/>
                <w:sz w:val="22"/>
                <w:szCs w:val="22"/>
              </w:rPr>
            </w:pPr>
            <w:r w:rsidRPr="001C139B">
              <w:rPr>
                <w:rFonts w:ascii="Franklin Gothic Book" w:hAnsi="Franklin Gothic Book" w:cs="Arial"/>
                <w:color w:val="auto"/>
                <w:sz w:val="22"/>
                <w:szCs w:val="22"/>
              </w:rPr>
              <w:t>Return on capital is a judgement rather than hard science, and as described below, the local authority should retain the flexibility to vary the return on capital paid to any individual provider, but the following overarching principles are relevant.</w:t>
            </w:r>
          </w:p>
          <w:p w14:paraId="5DBF6C07"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t>Investment by nature involves risk. The cost of capital is the return that investors require to invest in a business. Within the care home market, return on capital payments within the care fee encourages new investors to invest in care home land and buildings and keep existing capital invested in social care rather than investing in another business with similar risk. They may cover payments such as rent and mortgages. They are an important consideration for the full economic cost of running a care home and apply to all care home providers as made clear by CMA (2017).</w:t>
            </w:r>
          </w:p>
          <w:p w14:paraId="13A03318"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lastRenderedPageBreak/>
              <w:t>Return on capital is an important consideration for the impact of section 18(3), as it is one of the main fixed costs in a care home and to some extent determines who is paying for those fixed costs.</w:t>
            </w:r>
          </w:p>
          <w:p w14:paraId="03D4DE70"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t>Nevertheless, return on capital is not a hard entitlement nor is it fully objective. There is judgement involved in setting the amounts included in the cost of care exercise, and further judgement when setting the amounts for any particular provider. The amounts included in the cost of care exercise are not intended to be fixed across all providers in the local authority; the amount paid to any one provider is a judgement according to considerations such as area and building type. It is important to balance spending on return on capital with other potential uses of public money in meeting care needs.</w:t>
            </w:r>
          </w:p>
          <w:p w14:paraId="18662371"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t>It is important to remember that return on capital may in some cases be reinvested in the business. This can make their business more desirable to the market in future, and help the market develop more generally, for example by improving quality, improving efficiency, serving more people, or moving into new types of care.</w:t>
            </w:r>
          </w:p>
          <w:p w14:paraId="216A54BC"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t>While they involve judgement, the amounts included in the cost of care exercise will need to be defensible, with the evidence that has informed them set out. The CMA (2017) suggest the cost of capital is calculated as the product of both:</w:t>
            </w:r>
          </w:p>
          <w:p w14:paraId="074169FF" w14:textId="77777777" w:rsidR="00AC76EE" w:rsidRPr="001C139B" w:rsidRDefault="006C3538" w:rsidP="00AC76EE">
            <w:pPr>
              <w:pStyle w:val="NormalWeb"/>
              <w:numPr>
                <w:ilvl w:val="1"/>
                <w:numId w:val="23"/>
              </w:numPr>
              <w:shd w:val="clear" w:color="auto" w:fill="FFFFFF"/>
              <w:spacing w:before="0" w:beforeAutospacing="0" w:after="0" w:afterAutospacing="0"/>
              <w:ind w:left="2040"/>
              <w:rPr>
                <w:rFonts w:ascii="Franklin Gothic Book" w:hAnsi="Franklin Gothic Book" w:cs="Arial"/>
                <w:color w:val="auto"/>
                <w:sz w:val="22"/>
                <w:szCs w:val="22"/>
              </w:rPr>
            </w:pPr>
            <w:r w:rsidRPr="001C139B">
              <w:rPr>
                <w:rFonts w:ascii="Franklin Gothic Book" w:hAnsi="Franklin Gothic Book" w:cs="Arial"/>
                <w:color w:val="auto"/>
                <w:sz w:val="22"/>
                <w:szCs w:val="22"/>
              </w:rPr>
              <w:t>(a) the value of the assets invested in the care home</w:t>
            </w:r>
          </w:p>
          <w:p w14:paraId="738C09DD" w14:textId="77777777" w:rsidR="00AC76EE" w:rsidRPr="001C139B" w:rsidRDefault="006C3538" w:rsidP="00AC76EE">
            <w:pPr>
              <w:pStyle w:val="NormalWeb"/>
              <w:numPr>
                <w:ilvl w:val="1"/>
                <w:numId w:val="23"/>
              </w:numPr>
              <w:shd w:val="clear" w:color="auto" w:fill="FFFFFF"/>
              <w:spacing w:before="0" w:beforeAutospacing="0" w:after="0" w:afterAutospacing="0"/>
              <w:ind w:left="2040"/>
              <w:rPr>
                <w:rFonts w:ascii="Franklin Gothic Book" w:hAnsi="Franklin Gothic Book" w:cs="Arial"/>
                <w:color w:val="auto"/>
                <w:sz w:val="22"/>
                <w:szCs w:val="22"/>
              </w:rPr>
            </w:pPr>
            <w:r w:rsidRPr="001C139B">
              <w:rPr>
                <w:rFonts w:ascii="Franklin Gothic Book" w:hAnsi="Franklin Gothic Book" w:cs="Arial"/>
                <w:color w:val="auto"/>
                <w:sz w:val="22"/>
                <w:szCs w:val="22"/>
              </w:rPr>
              <w:t>(b) the required percentage annual return on capital</w:t>
            </w:r>
          </w:p>
          <w:p w14:paraId="5E636642" w14:textId="77777777" w:rsidR="00AC76EE" w:rsidRPr="001C139B" w:rsidRDefault="006C3538" w:rsidP="00AC76EE">
            <w:pPr>
              <w:pStyle w:val="NormalWeb"/>
              <w:numPr>
                <w:ilvl w:val="0"/>
                <w:numId w:val="23"/>
              </w:numPr>
              <w:shd w:val="clear" w:color="auto" w:fill="FFFFFF"/>
              <w:spacing w:before="0" w:beforeAutospacing="0" w:after="0" w:afterAutospacing="0"/>
              <w:ind w:left="1020"/>
              <w:rPr>
                <w:rFonts w:ascii="Franklin Gothic Book" w:hAnsi="Franklin Gothic Book" w:cs="Arial"/>
                <w:color w:val="auto"/>
                <w:sz w:val="22"/>
                <w:szCs w:val="22"/>
              </w:rPr>
            </w:pPr>
            <w:r w:rsidRPr="001C139B">
              <w:rPr>
                <w:rFonts w:ascii="Franklin Gothic Book" w:hAnsi="Franklin Gothic Book" w:cs="Arial"/>
                <w:color w:val="auto"/>
                <w:sz w:val="22"/>
                <w:szCs w:val="22"/>
              </w:rPr>
              <w:t>There are several approaches to estimate a) and b) above, although in general, the value of assets used in the cost of capital calculation should reflect the market value of those assets. This is where local authorities may find it helpful to adopt multiple approaches to triangulate and validate their returns. For example, freehold valuations of land and buildings that reflect what those assets could be sold for as an alternative to continuing to use them within the care business.</w:t>
            </w:r>
          </w:p>
          <w:p w14:paraId="2656DF4D" w14:textId="77777777" w:rsidR="00326DF8" w:rsidRPr="001C139B" w:rsidRDefault="006C3538" w:rsidP="00326DF8">
            <w:pPr>
              <w:pStyle w:val="NormalWeb"/>
              <w:shd w:val="clear" w:color="auto" w:fill="FFFFFF"/>
              <w:spacing w:before="300" w:beforeAutospacing="0" w:after="300" w:afterAutospacing="0"/>
              <w:rPr>
                <w:rFonts w:ascii="Franklin Gothic Book" w:hAnsi="Franklin Gothic Book" w:cs="Arial"/>
                <w:color w:val="auto"/>
                <w:sz w:val="22"/>
                <w:szCs w:val="22"/>
              </w:rPr>
            </w:pPr>
            <w:r w:rsidRPr="001C139B">
              <w:rPr>
                <w:rFonts w:ascii="Franklin Gothic Book" w:hAnsi="Franklin Gothic Book" w:cs="Arial"/>
                <w:color w:val="auto"/>
                <w:sz w:val="22"/>
                <w:szCs w:val="22"/>
              </w:rPr>
              <w:t>Cost-of-care exercises should be clear about how their reported return on capital values have been calculated. Approaches including (but not limited to) those below can inform a local authority's overall judgment on the level of return on capital reported as part of its cost of care exercise. The methods below reflect that property prices and rents, and therefore justifiable levels of return on capital, vary substantially between local authorities. As discussed above, local authorities may wish to flex the return on capital value for different care homes in their area.</w:t>
            </w:r>
          </w:p>
          <w:p w14:paraId="6DC140F8" w14:textId="77777777" w:rsidR="00AC76EE" w:rsidRPr="001C139B" w:rsidRDefault="006C3538" w:rsidP="00326DF8">
            <w:pPr>
              <w:pStyle w:val="NormalWeb"/>
              <w:shd w:val="clear" w:color="auto" w:fill="FFFFFF"/>
              <w:spacing w:before="300" w:beforeAutospacing="0" w:after="300" w:afterAutospacing="0"/>
              <w:rPr>
                <w:rFonts w:ascii="Franklin Gothic Book" w:hAnsi="Franklin Gothic Book" w:cs="Arial"/>
                <w:color w:val="auto"/>
                <w:sz w:val="22"/>
                <w:szCs w:val="22"/>
                <w:u w:val="single"/>
              </w:rPr>
            </w:pPr>
            <w:r w:rsidRPr="001C139B">
              <w:rPr>
                <w:rFonts w:ascii="Franklin Gothic Book" w:hAnsi="Franklin Gothic Book" w:cs="Arial"/>
                <w:color w:val="auto"/>
                <w:sz w:val="22"/>
                <w:szCs w:val="22"/>
                <w:u w:val="single"/>
              </w:rPr>
              <w:t>Potential approach 1</w:t>
            </w:r>
          </w:p>
          <w:p w14:paraId="29E66C8C" w14:textId="77777777" w:rsidR="00326DF8" w:rsidRPr="001C139B" w:rsidRDefault="006C3538" w:rsidP="00326DF8">
            <w:pPr>
              <w:pStyle w:val="NormalWeb"/>
              <w:shd w:val="clear" w:color="auto" w:fill="FFFFFF"/>
              <w:spacing w:before="300" w:beforeAutospacing="0" w:after="300" w:afterAutospacing="0"/>
              <w:rPr>
                <w:rFonts w:ascii="Franklin Gothic Book" w:hAnsi="Franklin Gothic Book" w:cs="Arial"/>
                <w:color w:val="auto"/>
                <w:sz w:val="22"/>
                <w:szCs w:val="22"/>
              </w:rPr>
            </w:pPr>
            <w:r w:rsidRPr="001C139B">
              <w:rPr>
                <w:rFonts w:ascii="Franklin Gothic Book" w:hAnsi="Franklin Gothic Book" w:cs="Arial"/>
                <w:color w:val="auto"/>
                <w:sz w:val="22"/>
                <w:szCs w:val="22"/>
              </w:rPr>
              <w:t>Providers should be asked to state the current freehold value of their care home, and the median freehold value per bed can then be calculated for the local authority conducting the exercise. There is a second-hand market for care homes which can provide a sense check. A percentage rental yield can then be applied to the freehold value per bed. For example, the commercial estate agents Knight Frank cite a 5.5% yield for core care home stock (note that it is a lower 4% for prime stock and 3.5% for super prime stock). For example, consider a local authority with a median freehold valuation of £60,000 per bed. The cost of care exercise could report a return on capital of 5.5% * £60,000 / 52 weeks = £63 per resident per week.</w:t>
            </w:r>
          </w:p>
          <w:p w14:paraId="07DEF37B" w14:textId="77777777" w:rsidR="00AC76EE" w:rsidRPr="001C139B" w:rsidRDefault="006C3538" w:rsidP="00326DF8">
            <w:pPr>
              <w:pStyle w:val="NormalWeb"/>
              <w:shd w:val="clear" w:color="auto" w:fill="FFFFFF"/>
              <w:spacing w:before="300" w:beforeAutospacing="0" w:after="300" w:afterAutospacing="0"/>
              <w:rPr>
                <w:rFonts w:ascii="Franklin Gothic Book" w:hAnsi="Franklin Gothic Book" w:cs="Arial"/>
                <w:color w:val="auto"/>
                <w:sz w:val="22"/>
                <w:szCs w:val="22"/>
                <w:u w:val="single"/>
              </w:rPr>
            </w:pPr>
            <w:r w:rsidRPr="001C139B">
              <w:rPr>
                <w:rFonts w:ascii="Franklin Gothic Book" w:hAnsi="Franklin Gothic Book" w:cs="Arial"/>
                <w:color w:val="auto"/>
                <w:sz w:val="22"/>
                <w:szCs w:val="22"/>
                <w:u w:val="single"/>
              </w:rPr>
              <w:t>Potential approach 2</w:t>
            </w:r>
          </w:p>
          <w:p w14:paraId="0F2F6724" w14:textId="77777777" w:rsidR="00AC76EE" w:rsidRPr="001C139B" w:rsidRDefault="006C3538" w:rsidP="00AC76EE">
            <w:pPr>
              <w:pStyle w:val="NormalWeb"/>
              <w:shd w:val="clear" w:color="auto" w:fill="FFFFFF"/>
              <w:spacing w:before="300" w:beforeAutospacing="0" w:after="300" w:afterAutospacing="0"/>
              <w:rPr>
                <w:rFonts w:ascii="Franklin Gothic Book" w:hAnsi="Franklin Gothic Book" w:cs="Arial"/>
                <w:color w:val="auto"/>
                <w:sz w:val="22"/>
                <w:szCs w:val="22"/>
              </w:rPr>
            </w:pPr>
            <w:r w:rsidRPr="001C139B">
              <w:rPr>
                <w:rFonts w:ascii="Franklin Gothic Book" w:hAnsi="Franklin Gothic Book" w:cs="Arial"/>
                <w:color w:val="auto"/>
                <w:sz w:val="22"/>
                <w:szCs w:val="22"/>
              </w:rPr>
              <w:lastRenderedPageBreak/>
              <w:t>Local Housing Allowance (LHA) is paid to Housing Benefit recipients to support the cost of the rent. The rates are set at the 30th percentile of local rents. The one-bedroom rate of LHA (minus fixtures/fittings/repairs/maintenance can arguably be used as a proxy for the property rental element within a local authority. This is because whilst a one-bedroom flat has features that are care home does not, such as a kitchen in every flat, a care home has many communal areas that the flat would not have. The LHA rates are paid at Broad Rental Market Area (BRMA) level, and several of these areas may overlap within the local authority's boundaries. For example, consider a local authority with an average one-bedroom LHA rate of £130 per week, and fixtures/fittings/maintenance of £30 per week, the cost of care exercise could report a return on capital of £100 per resident per week.</w:t>
            </w:r>
            <w:r w:rsidRPr="001C139B">
              <w:rPr>
                <w:rFonts w:ascii="Arial" w:hAnsi="Arial" w:cs="Arial"/>
                <w:color w:val="auto"/>
                <w:sz w:val="22"/>
                <w:szCs w:val="22"/>
              </w:rPr>
              <w:t>​</w:t>
            </w:r>
          </w:p>
          <w:p w14:paraId="28947F0F" w14:textId="326E82AE" w:rsidR="00CB131C" w:rsidRPr="001C139B" w:rsidRDefault="006C3538" w:rsidP="00256D35">
            <w:pPr>
              <w:rPr>
                <w:rFonts w:asciiTheme="minorHAnsi" w:hAnsiTheme="minorHAnsi" w:cstheme="minorHAnsi"/>
                <w:color w:val="auto"/>
                <w:sz w:val="18"/>
                <w:szCs w:val="18"/>
              </w:rPr>
            </w:pPr>
            <w:r w:rsidRPr="001C139B">
              <w:rPr>
                <w:rFonts w:asciiTheme="minorHAnsi" w:hAnsiTheme="minorHAnsi" w:cstheme="minorHAnsi"/>
                <w:color w:val="auto"/>
                <w:sz w:val="18"/>
                <w:szCs w:val="18"/>
              </w:rPr>
              <w:t xml:space="preserve">Source: Market Sustainability and Fair Cost of Care Fund 2022 to 2023: guidance published </w:t>
            </w:r>
            <w:r w:rsidR="00256D35" w:rsidRPr="001C139B">
              <w:rPr>
                <w:rFonts w:asciiTheme="minorHAnsi" w:hAnsiTheme="minorHAnsi" w:cstheme="minorHAnsi"/>
                <w:color w:val="auto"/>
                <w:sz w:val="18"/>
                <w:szCs w:val="18"/>
              </w:rPr>
              <w:t>25</w:t>
            </w:r>
            <w:r w:rsidRPr="001C139B">
              <w:rPr>
                <w:rFonts w:asciiTheme="minorHAnsi" w:hAnsiTheme="minorHAnsi" w:cstheme="minorHAnsi"/>
                <w:color w:val="auto"/>
                <w:sz w:val="18"/>
                <w:szCs w:val="18"/>
              </w:rPr>
              <w:t xml:space="preserve"> </w:t>
            </w:r>
            <w:r w:rsidR="00256D35" w:rsidRPr="001C139B">
              <w:rPr>
                <w:rFonts w:asciiTheme="minorHAnsi" w:hAnsiTheme="minorHAnsi" w:cstheme="minorHAnsi"/>
                <w:color w:val="auto"/>
                <w:sz w:val="18"/>
                <w:szCs w:val="18"/>
              </w:rPr>
              <w:t>August</w:t>
            </w:r>
            <w:r w:rsidRPr="001C139B">
              <w:rPr>
                <w:rFonts w:asciiTheme="minorHAnsi" w:hAnsiTheme="minorHAnsi" w:cstheme="minorHAnsi"/>
                <w:color w:val="auto"/>
                <w:sz w:val="18"/>
                <w:szCs w:val="18"/>
              </w:rPr>
              <w:t xml:space="preserve"> 2022. </w:t>
            </w:r>
            <w:hyperlink r:id="rId10" w:history="1">
              <w:r w:rsidRPr="001C139B">
                <w:rPr>
                  <w:rStyle w:val="Hyperlink"/>
                  <w:rFonts w:asciiTheme="minorHAnsi" w:hAnsiTheme="minorHAnsi" w:cstheme="minorHAnsi"/>
                  <w:color w:val="auto"/>
                  <w:sz w:val="18"/>
                  <w:szCs w:val="18"/>
                </w:rPr>
                <w:t>https://www.gov.uk/government/publications/market-sustainability-and-fair-cost-of-care-fund-2022-to-2023-guidance</w:t>
              </w:r>
            </w:hyperlink>
          </w:p>
          <w:p w14:paraId="63DB3804" w14:textId="77777777" w:rsidR="00AC76EE" w:rsidRPr="001C139B" w:rsidRDefault="00AC76EE" w:rsidP="00F842CC">
            <w:pPr>
              <w:spacing w:line="280" w:lineRule="exact"/>
              <w:jc w:val="both"/>
              <w:rPr>
                <w:color w:val="auto"/>
                <w:lang w:eastAsia="en-GB"/>
              </w:rPr>
            </w:pPr>
          </w:p>
        </w:tc>
      </w:tr>
    </w:tbl>
    <w:p w14:paraId="7801F134" w14:textId="77777777" w:rsidR="00AC76EE" w:rsidRPr="001C139B" w:rsidRDefault="00AC76EE" w:rsidP="00F842CC">
      <w:pPr>
        <w:spacing w:after="0" w:line="280" w:lineRule="exact"/>
        <w:jc w:val="both"/>
        <w:rPr>
          <w:color w:val="auto"/>
          <w:lang w:eastAsia="en-GB"/>
        </w:rPr>
      </w:pPr>
    </w:p>
    <w:p w14:paraId="7D8F5D7C" w14:textId="77777777" w:rsidR="00387F3C" w:rsidRPr="001C139B" w:rsidRDefault="00387F3C" w:rsidP="00F842CC">
      <w:pPr>
        <w:spacing w:after="0" w:line="280" w:lineRule="exact"/>
        <w:jc w:val="both"/>
        <w:rPr>
          <w:color w:val="auto"/>
          <w:lang w:eastAsia="en-GB"/>
        </w:rPr>
      </w:pPr>
    </w:p>
    <w:p w14:paraId="00025929" w14:textId="77777777" w:rsidR="00255EC7" w:rsidRPr="001C139B" w:rsidRDefault="00255EC7" w:rsidP="00F842CC">
      <w:pPr>
        <w:spacing w:after="0" w:line="280" w:lineRule="exact"/>
        <w:jc w:val="both"/>
        <w:rPr>
          <w:color w:val="auto"/>
          <w:lang w:eastAsia="en-GB"/>
        </w:rPr>
      </w:pPr>
    </w:p>
    <w:tbl>
      <w:tblPr>
        <w:tblStyle w:val="TableGrid"/>
        <w:tblW w:w="0" w:type="auto"/>
        <w:tblLook w:val="04A0" w:firstRow="1" w:lastRow="0" w:firstColumn="1" w:lastColumn="0" w:noHBand="0" w:noVBand="1"/>
      </w:tblPr>
      <w:tblGrid>
        <w:gridCol w:w="13948"/>
      </w:tblGrid>
      <w:tr w:rsidR="001C139B" w:rsidRPr="001C139B" w14:paraId="6695EA59" w14:textId="77777777" w:rsidTr="00326DF8">
        <w:tc>
          <w:tcPr>
            <w:tcW w:w="13948" w:type="dxa"/>
          </w:tcPr>
          <w:p w14:paraId="752317CA" w14:textId="77777777" w:rsidR="00326DF8" w:rsidRPr="001C139B" w:rsidRDefault="006C3538" w:rsidP="00326DF8">
            <w:pPr>
              <w:pStyle w:val="Heading3"/>
              <w:shd w:val="clear" w:color="auto" w:fill="FFFFFF"/>
              <w:outlineLvl w:val="2"/>
              <w:rPr>
                <w:rFonts w:cs="Arial"/>
                <w:b/>
                <w:bCs/>
                <w:color w:val="auto"/>
                <w:sz w:val="22"/>
                <w:szCs w:val="22"/>
              </w:rPr>
            </w:pPr>
            <w:bookmarkStart w:id="55" w:name="_Toc116555572"/>
            <w:r w:rsidRPr="001C139B">
              <w:rPr>
                <w:rFonts w:cs="Arial"/>
                <w:b/>
                <w:bCs/>
                <w:color w:val="auto"/>
                <w:sz w:val="22"/>
                <w:szCs w:val="22"/>
              </w:rPr>
              <w:t>Box 2 Return on Operations (care homes and domiciliary care)</w:t>
            </w:r>
            <w:bookmarkEnd w:id="55"/>
          </w:p>
          <w:p w14:paraId="5E548C6E" w14:textId="77777777" w:rsidR="00326DF8" w:rsidRPr="001C139B" w:rsidRDefault="00326DF8" w:rsidP="00F842CC">
            <w:pPr>
              <w:spacing w:line="280" w:lineRule="exact"/>
              <w:jc w:val="both"/>
              <w:rPr>
                <w:color w:val="auto"/>
                <w:lang w:eastAsia="en-GB"/>
              </w:rPr>
            </w:pPr>
          </w:p>
          <w:p w14:paraId="6C9C3CE3" w14:textId="77777777" w:rsidR="00326DF8" w:rsidRPr="001C139B" w:rsidRDefault="006C3538" w:rsidP="00326DF8">
            <w:pPr>
              <w:shd w:val="clear" w:color="auto" w:fill="FFFFFF"/>
              <w:spacing w:before="300" w:after="300"/>
              <w:rPr>
                <w:rFonts w:eastAsia="Times New Roman" w:cs="Arial"/>
                <w:color w:val="auto"/>
                <w:lang w:eastAsia="en-GB"/>
              </w:rPr>
            </w:pPr>
            <w:r w:rsidRPr="001C139B">
              <w:rPr>
                <w:rFonts w:eastAsia="Times New Roman" w:cs="Arial"/>
                <w:color w:val="auto"/>
                <w:lang w:eastAsia="en-GB"/>
              </w:rPr>
              <w:t>The return on operations amounts to a reward and incentive for operating the care and support services in a care home, and as a reward and incentive for the whole business of domiciliary care. It is important to note that in domiciliary care, return on operations is the only source of profit (there is no return on capital nor any capital gains from the property). It is therefore particularly important to understand the costs of domiciliary care providers and how they are changing, to ensure that profits remain at a sufficient level.</w:t>
            </w:r>
          </w:p>
          <w:p w14:paraId="40D8C401" w14:textId="77777777" w:rsidR="00326DF8" w:rsidRPr="001C139B" w:rsidRDefault="006C3538" w:rsidP="00326DF8">
            <w:pPr>
              <w:shd w:val="clear" w:color="auto" w:fill="FFFFFF"/>
              <w:spacing w:before="300" w:after="300"/>
              <w:rPr>
                <w:rFonts w:eastAsia="Times New Roman" w:cs="Arial"/>
                <w:color w:val="auto"/>
                <w:lang w:eastAsia="en-GB"/>
              </w:rPr>
            </w:pPr>
            <w:r w:rsidRPr="001C139B">
              <w:rPr>
                <w:rFonts w:eastAsia="Times New Roman" w:cs="Arial"/>
                <w:color w:val="auto"/>
                <w:lang w:eastAsia="en-GB"/>
              </w:rPr>
              <w:t>Return on operations can be calculated as a percentage markup on operations and head office costs.</w:t>
            </w:r>
          </w:p>
          <w:p w14:paraId="56E437CC" w14:textId="77777777" w:rsidR="00326DF8" w:rsidRPr="001C139B" w:rsidRDefault="006C3538" w:rsidP="00326DF8">
            <w:pPr>
              <w:shd w:val="clear" w:color="auto" w:fill="FFFFFF"/>
              <w:spacing w:before="300" w:after="300"/>
              <w:rPr>
                <w:rFonts w:eastAsia="Times New Roman" w:cs="Arial"/>
                <w:color w:val="auto"/>
                <w:lang w:eastAsia="en-GB"/>
              </w:rPr>
            </w:pPr>
            <w:r w:rsidRPr="001C139B">
              <w:rPr>
                <w:rFonts w:eastAsia="Times New Roman" w:cs="Arial"/>
                <w:color w:val="auto"/>
                <w:lang w:eastAsia="en-GB"/>
              </w:rPr>
              <w:t>As noted for the return on capital above, providers can choose to reinvest part of their return on operations into the business. This can make their business more desirable to the market in future, and help the market develop more generally, for example by improving quality, improving efficiency, serving more people, or moving into new types of care.</w:t>
            </w:r>
          </w:p>
          <w:p w14:paraId="0C3D7A5C" w14:textId="7187DB14" w:rsidR="00326DF8" w:rsidRPr="001C139B" w:rsidRDefault="006C3538" w:rsidP="00256D35">
            <w:pPr>
              <w:rPr>
                <w:rFonts w:asciiTheme="minorHAnsi" w:hAnsiTheme="minorHAnsi" w:cstheme="minorHAnsi"/>
                <w:color w:val="auto"/>
                <w:sz w:val="18"/>
                <w:szCs w:val="18"/>
              </w:rPr>
            </w:pPr>
            <w:r w:rsidRPr="001C139B">
              <w:rPr>
                <w:rFonts w:asciiTheme="minorHAnsi" w:hAnsiTheme="minorHAnsi" w:cstheme="minorHAnsi"/>
                <w:color w:val="auto"/>
                <w:sz w:val="18"/>
                <w:szCs w:val="18"/>
              </w:rPr>
              <w:t>Source: Market Sustainability and Fair Cost of Care Fund 2022 to 2023: guidance published 2</w:t>
            </w:r>
            <w:r w:rsidR="00256D35" w:rsidRPr="001C139B">
              <w:rPr>
                <w:rFonts w:asciiTheme="minorHAnsi" w:hAnsiTheme="minorHAnsi" w:cstheme="minorHAnsi"/>
                <w:color w:val="auto"/>
                <w:sz w:val="18"/>
                <w:szCs w:val="18"/>
              </w:rPr>
              <w:t>5 August</w:t>
            </w:r>
            <w:r w:rsidRPr="001C139B">
              <w:rPr>
                <w:rFonts w:asciiTheme="minorHAnsi" w:hAnsiTheme="minorHAnsi" w:cstheme="minorHAnsi"/>
                <w:color w:val="auto"/>
                <w:sz w:val="18"/>
                <w:szCs w:val="18"/>
              </w:rPr>
              <w:t xml:space="preserve"> 2022. </w:t>
            </w:r>
            <w:hyperlink r:id="rId11" w:history="1">
              <w:r w:rsidRPr="001C139B">
                <w:rPr>
                  <w:rStyle w:val="Hyperlink"/>
                  <w:rFonts w:asciiTheme="minorHAnsi" w:hAnsiTheme="minorHAnsi" w:cstheme="minorHAnsi"/>
                  <w:color w:val="auto"/>
                  <w:sz w:val="18"/>
                  <w:szCs w:val="18"/>
                </w:rPr>
                <w:t>https://www.gov.uk/government/publications/market-sustainability-and-fair-cost-of-care-fund-2022-to-2023-guidance</w:t>
              </w:r>
            </w:hyperlink>
          </w:p>
          <w:p w14:paraId="2D8BC875" w14:textId="77777777" w:rsidR="00326DF8" w:rsidRPr="001C139B" w:rsidRDefault="00326DF8" w:rsidP="00F842CC">
            <w:pPr>
              <w:spacing w:line="280" w:lineRule="exact"/>
              <w:jc w:val="both"/>
              <w:rPr>
                <w:color w:val="auto"/>
                <w:lang w:eastAsia="en-GB"/>
              </w:rPr>
            </w:pPr>
          </w:p>
        </w:tc>
      </w:tr>
    </w:tbl>
    <w:p w14:paraId="204C3ADD" w14:textId="77777777" w:rsidR="005B52FD" w:rsidRDefault="005B52FD" w:rsidP="00504A3D"/>
    <w:p w14:paraId="277B04A8" w14:textId="77777777" w:rsidR="00255EC7" w:rsidRDefault="00255EC7" w:rsidP="00504A3D"/>
    <w:p w14:paraId="356E68BD" w14:textId="77777777" w:rsidR="005B70E8" w:rsidRPr="005B70E8" w:rsidRDefault="006C3538" w:rsidP="005B70E8">
      <w:pPr>
        <w:pStyle w:val="Heading2"/>
        <w:spacing w:line="280" w:lineRule="exact"/>
        <w:ind w:right="0"/>
      </w:pPr>
      <w:bookmarkStart w:id="56" w:name="_Toc116555573"/>
      <w:r w:rsidRPr="004E490F">
        <w:lastRenderedPageBreak/>
        <w:t>A</w:t>
      </w:r>
      <w:r w:rsidR="00BD1A74">
        <w:t>1.</w:t>
      </w:r>
      <w:r w:rsidR="000764D8">
        <w:t>2</w:t>
      </w:r>
      <w:r w:rsidRPr="004E490F">
        <w:t xml:space="preserve"> </w:t>
      </w:r>
      <w:r w:rsidR="000764D8">
        <w:t>Care homes</w:t>
      </w:r>
      <w:bookmarkEnd w:id="56"/>
    </w:p>
    <w:p w14:paraId="67B4EDFA" w14:textId="77777777" w:rsidR="005B70E8" w:rsidRDefault="005B70E8" w:rsidP="005B70E8">
      <w:pPr>
        <w:spacing w:after="0" w:line="280" w:lineRule="exact"/>
        <w:jc w:val="both"/>
        <w:rPr>
          <w:lang w:eastAsia="en-GB"/>
        </w:rPr>
      </w:pPr>
    </w:p>
    <w:p w14:paraId="231A8F6D" w14:textId="77777777" w:rsidR="000764D8" w:rsidRPr="001C139B" w:rsidRDefault="006C3538" w:rsidP="005B70E8">
      <w:pPr>
        <w:spacing w:after="0" w:line="280" w:lineRule="exact"/>
        <w:jc w:val="both"/>
        <w:rPr>
          <w:color w:val="auto"/>
          <w:lang w:eastAsia="en-GB"/>
        </w:rPr>
      </w:pPr>
      <w:r w:rsidRPr="001C139B">
        <w:rPr>
          <w:color w:val="auto"/>
          <w:lang w:eastAsia="en-GB"/>
        </w:rPr>
        <w:t xml:space="preserve">LaingBuisson’s </w:t>
      </w:r>
      <w:r w:rsidRPr="001C139B">
        <w:rPr>
          <w:i/>
          <w:iCs/>
          <w:color w:val="auto"/>
          <w:lang w:eastAsia="en-GB"/>
        </w:rPr>
        <w:t>Care Cost Benchmarks</w:t>
      </w:r>
      <w:r w:rsidRPr="001C139B">
        <w:rPr>
          <w:color w:val="auto"/>
          <w:lang w:eastAsia="en-GB"/>
        </w:rPr>
        <w:t xml:space="preserve"> model</w:t>
      </w:r>
      <w:r w:rsidR="00A87AB0" w:rsidRPr="001C139B">
        <w:rPr>
          <w:color w:val="auto"/>
          <w:lang w:eastAsia="en-GB"/>
        </w:rPr>
        <w:t xml:space="preserve"> </w:t>
      </w:r>
      <w:r w:rsidR="001D43F6" w:rsidRPr="001C139B">
        <w:rPr>
          <w:color w:val="auto"/>
          <w:lang w:eastAsia="en-GB"/>
        </w:rPr>
        <w:t>contains</w:t>
      </w:r>
      <w:r w:rsidR="00A87AB0" w:rsidRPr="001C139B">
        <w:rPr>
          <w:color w:val="auto"/>
          <w:lang w:eastAsia="en-GB"/>
        </w:rPr>
        <w:t xml:space="preserve"> a methodology</w:t>
      </w:r>
      <w:r w:rsidR="001D43F6" w:rsidRPr="001C139B">
        <w:rPr>
          <w:color w:val="auto"/>
          <w:lang w:eastAsia="en-GB"/>
        </w:rPr>
        <w:t xml:space="preserve"> which</w:t>
      </w:r>
      <w:r w:rsidR="00A87AB0" w:rsidRPr="001C139B">
        <w:rPr>
          <w:color w:val="auto"/>
          <w:lang w:eastAsia="en-GB"/>
        </w:rPr>
        <w:t xml:space="preserve"> </w:t>
      </w:r>
      <w:r w:rsidR="00504A3D" w:rsidRPr="001C139B">
        <w:rPr>
          <w:color w:val="auto"/>
          <w:lang w:eastAsia="en-GB"/>
        </w:rPr>
        <w:t xml:space="preserve">we believe </w:t>
      </w:r>
      <w:r w:rsidR="001D43F6" w:rsidRPr="001C139B">
        <w:rPr>
          <w:color w:val="auto"/>
        </w:rPr>
        <w:t>comes as close as possible to setting an objective, market-related norm</w:t>
      </w:r>
      <w:r w:rsidR="00255EC7" w:rsidRPr="001C139B">
        <w:rPr>
          <w:color w:val="auto"/>
        </w:rPr>
        <w:t>s</w:t>
      </w:r>
      <w:r w:rsidR="001D43F6" w:rsidRPr="001C139B">
        <w:rPr>
          <w:color w:val="auto"/>
        </w:rPr>
        <w:t xml:space="preserve"> for return on capital and return on operations for care homes. </w:t>
      </w:r>
      <w:r w:rsidR="001D43F6" w:rsidRPr="001C139B">
        <w:rPr>
          <w:i/>
          <w:iCs/>
          <w:color w:val="auto"/>
          <w:lang w:eastAsia="en-GB"/>
        </w:rPr>
        <w:t>Care Cost Benchmarks</w:t>
      </w:r>
      <w:r w:rsidR="00A87AB0" w:rsidRPr="001C139B">
        <w:rPr>
          <w:color w:val="auto"/>
          <w:lang w:eastAsia="en-GB"/>
        </w:rPr>
        <w:t xml:space="preserve"> have been established </w:t>
      </w:r>
      <w:r w:rsidR="00BB6FFE" w:rsidRPr="001C139B">
        <w:rPr>
          <w:color w:val="auto"/>
          <w:lang w:eastAsia="en-GB"/>
        </w:rPr>
        <w:t xml:space="preserve">for two decades </w:t>
      </w:r>
      <w:r w:rsidR="00A87AB0" w:rsidRPr="001C139B">
        <w:rPr>
          <w:color w:val="auto"/>
          <w:lang w:eastAsia="en-GB"/>
        </w:rPr>
        <w:t xml:space="preserve">and </w:t>
      </w:r>
      <w:r w:rsidR="00BB6FFE" w:rsidRPr="001C139B">
        <w:rPr>
          <w:color w:val="auto"/>
          <w:lang w:eastAsia="en-GB"/>
        </w:rPr>
        <w:t xml:space="preserve">have been </w:t>
      </w:r>
      <w:r w:rsidR="00A87AB0" w:rsidRPr="001C139B">
        <w:rPr>
          <w:color w:val="auto"/>
          <w:lang w:eastAsia="en-GB"/>
        </w:rPr>
        <w:t>widely used by both commissioners and care home providers</w:t>
      </w:r>
      <w:r w:rsidR="00BB6FFE" w:rsidRPr="001C139B">
        <w:rPr>
          <w:color w:val="auto"/>
          <w:lang w:eastAsia="en-GB"/>
        </w:rPr>
        <w:t xml:space="preserve"> seeking to find common ground on fair costs.</w:t>
      </w:r>
    </w:p>
    <w:p w14:paraId="4CFD08E3" w14:textId="77777777" w:rsidR="00BB6FFE" w:rsidRPr="001C139B" w:rsidRDefault="00BB6FFE" w:rsidP="005B70E8">
      <w:pPr>
        <w:spacing w:after="0" w:line="280" w:lineRule="exact"/>
        <w:jc w:val="both"/>
        <w:rPr>
          <w:color w:val="auto"/>
          <w:lang w:eastAsia="en-GB"/>
        </w:rPr>
      </w:pPr>
    </w:p>
    <w:p w14:paraId="224AC076" w14:textId="77777777" w:rsidR="00BB6FFE" w:rsidRPr="001C139B" w:rsidRDefault="006C3538" w:rsidP="005B70E8">
      <w:pPr>
        <w:spacing w:after="0" w:line="280" w:lineRule="exact"/>
        <w:jc w:val="both"/>
        <w:rPr>
          <w:color w:val="auto"/>
          <w:lang w:eastAsia="en-GB"/>
        </w:rPr>
      </w:pPr>
      <w:r w:rsidRPr="001C139B">
        <w:rPr>
          <w:color w:val="auto"/>
          <w:lang w:eastAsia="en-GB"/>
        </w:rPr>
        <w:t xml:space="preserve">The starting point of the methodology is to determine a reasonable, evidence-based </w:t>
      </w:r>
      <w:r w:rsidR="00504A3D" w:rsidRPr="001C139B">
        <w:rPr>
          <w:color w:val="auto"/>
          <w:lang w:eastAsia="en-GB"/>
        </w:rPr>
        <w:t>‘</w:t>
      </w:r>
      <w:r w:rsidRPr="001C139B">
        <w:rPr>
          <w:color w:val="auto"/>
          <w:lang w:eastAsia="en-GB"/>
        </w:rPr>
        <w:t>whole business</w:t>
      </w:r>
      <w:r w:rsidR="00504A3D" w:rsidRPr="001C139B">
        <w:rPr>
          <w:color w:val="auto"/>
          <w:lang w:eastAsia="en-GB"/>
        </w:rPr>
        <w:t>’</w:t>
      </w:r>
      <w:r w:rsidRPr="001C139B">
        <w:rPr>
          <w:color w:val="auto"/>
          <w:lang w:eastAsia="en-GB"/>
        </w:rPr>
        <w:t xml:space="preserve"> return for a sustainable care home </w:t>
      </w:r>
      <w:r w:rsidR="000A7A26" w:rsidRPr="001C139B">
        <w:rPr>
          <w:color w:val="auto"/>
          <w:lang w:eastAsia="en-GB"/>
        </w:rPr>
        <w:t>capable of being rated Good by CQC. Th</w:t>
      </w:r>
      <w:r w:rsidR="00504A3D" w:rsidRPr="001C139B">
        <w:rPr>
          <w:color w:val="auto"/>
          <w:lang w:eastAsia="en-GB"/>
        </w:rPr>
        <w:t>e</w:t>
      </w:r>
      <w:r w:rsidR="000A7A26" w:rsidRPr="001C139B">
        <w:rPr>
          <w:color w:val="auto"/>
          <w:lang w:eastAsia="en-GB"/>
        </w:rPr>
        <w:t xml:space="preserve"> whole business return ca</w:t>
      </w:r>
      <w:r w:rsidR="00504A3D" w:rsidRPr="001C139B">
        <w:rPr>
          <w:color w:val="auto"/>
          <w:lang w:eastAsia="en-GB"/>
        </w:rPr>
        <w:t>n</w:t>
      </w:r>
      <w:r w:rsidR="000A7A26" w:rsidRPr="001C139B">
        <w:rPr>
          <w:color w:val="auto"/>
          <w:lang w:eastAsia="en-GB"/>
        </w:rPr>
        <w:t xml:space="preserve"> then</w:t>
      </w:r>
      <w:r w:rsidR="00504A3D" w:rsidRPr="001C139B">
        <w:rPr>
          <w:color w:val="auto"/>
          <w:lang w:eastAsia="en-GB"/>
        </w:rPr>
        <w:t xml:space="preserve"> be divided into two component parts, return on capital and return on operations, using available evidence</w:t>
      </w:r>
      <w:r w:rsidR="00255EC7" w:rsidRPr="001C139B">
        <w:rPr>
          <w:color w:val="auto"/>
          <w:lang w:eastAsia="en-GB"/>
        </w:rPr>
        <w:t>.</w:t>
      </w:r>
    </w:p>
    <w:p w14:paraId="28C63A19" w14:textId="77777777" w:rsidR="00BB6FFE" w:rsidRDefault="00BB6FFE" w:rsidP="005B70E8">
      <w:pPr>
        <w:spacing w:after="0" w:line="280" w:lineRule="exact"/>
        <w:jc w:val="both"/>
        <w:rPr>
          <w:lang w:eastAsia="en-GB"/>
        </w:rPr>
      </w:pPr>
    </w:p>
    <w:p w14:paraId="57AF92A5" w14:textId="77777777" w:rsidR="00504A3D" w:rsidRDefault="006C3538" w:rsidP="00504A3D">
      <w:pPr>
        <w:pStyle w:val="Heading3"/>
      </w:pPr>
      <w:bookmarkStart w:id="57" w:name="_Toc116555574"/>
      <w:r>
        <w:t>A</w:t>
      </w:r>
      <w:r w:rsidR="00BD1A74">
        <w:t>1.</w:t>
      </w:r>
      <w:r>
        <w:t>2.1 Whole business return for care homes</w:t>
      </w:r>
      <w:bookmarkEnd w:id="57"/>
    </w:p>
    <w:p w14:paraId="05999B50" w14:textId="77777777" w:rsidR="00504A3D" w:rsidRDefault="00504A3D" w:rsidP="005B70E8">
      <w:pPr>
        <w:spacing w:after="0" w:line="280" w:lineRule="exact"/>
        <w:jc w:val="both"/>
        <w:rPr>
          <w:lang w:eastAsia="en-GB"/>
        </w:rPr>
      </w:pPr>
    </w:p>
    <w:p w14:paraId="70E7F798" w14:textId="77777777" w:rsidR="00FB78D3" w:rsidRPr="001C139B" w:rsidRDefault="006C3538" w:rsidP="00FB78D3">
      <w:pPr>
        <w:spacing w:after="0" w:line="280" w:lineRule="exact"/>
        <w:jc w:val="both"/>
        <w:rPr>
          <w:color w:val="auto"/>
        </w:rPr>
      </w:pPr>
      <w:r w:rsidRPr="001C139B">
        <w:rPr>
          <w:color w:val="auto"/>
        </w:rPr>
        <w:t>Market behaviour is the best indicator of what the benchmark for a reasonable ‘whole business’ return on investment should be. LaingBuisson has approached this question by seeking advice from major business transfer agents and property funds active in the care home space. The current consensus is that good-quality, modern care homes sell at a multiple of about 9x sustainable EBITDARM</w:t>
      </w:r>
      <w:r w:rsidRPr="001C139B">
        <w:rPr>
          <w:rStyle w:val="FootnoteReference"/>
          <w:color w:val="auto"/>
        </w:rPr>
        <w:footnoteReference w:id="14"/>
      </w:r>
      <w:r w:rsidRPr="001C139B">
        <w:rPr>
          <w:color w:val="auto"/>
        </w:rPr>
        <w:t xml:space="preserve">.  A ‘profit purchase’ multiple of 9x implies in turn that </w:t>
      </w:r>
      <w:r w:rsidR="00884291" w:rsidRPr="001C139B">
        <w:rPr>
          <w:color w:val="auto"/>
        </w:rPr>
        <w:t>investors</w:t>
      </w:r>
      <w:r w:rsidRPr="001C139B">
        <w:rPr>
          <w:color w:val="auto"/>
        </w:rPr>
        <w:t xml:space="preserve"> are </w:t>
      </w:r>
      <w:r w:rsidR="00884291" w:rsidRPr="001C139B">
        <w:rPr>
          <w:color w:val="auto"/>
        </w:rPr>
        <w:t>typically seeking</w:t>
      </w:r>
      <w:r w:rsidRPr="001C139B">
        <w:rPr>
          <w:color w:val="auto"/>
        </w:rPr>
        <w:t xml:space="preserve"> </w:t>
      </w:r>
      <w:r w:rsidR="00884291" w:rsidRPr="001C139B">
        <w:rPr>
          <w:color w:val="auto"/>
        </w:rPr>
        <w:t>a</w:t>
      </w:r>
      <w:r w:rsidRPr="001C139B">
        <w:rPr>
          <w:color w:val="auto"/>
        </w:rPr>
        <w:t xml:space="preserve"> ‘whole business’ </w:t>
      </w:r>
      <w:r w:rsidR="00884291" w:rsidRPr="001C139B">
        <w:rPr>
          <w:color w:val="auto"/>
        </w:rPr>
        <w:t xml:space="preserve">return </w:t>
      </w:r>
      <w:r w:rsidRPr="001C139B">
        <w:rPr>
          <w:color w:val="auto"/>
        </w:rPr>
        <w:t xml:space="preserve">of 11% per annum (that is, the reciprocal of 9). </w:t>
      </w:r>
      <w:r w:rsidRPr="001C139B">
        <w:rPr>
          <w:b/>
          <w:bCs/>
          <w:color w:val="auto"/>
        </w:rPr>
        <w:t xml:space="preserve">Therefore 11% comes as close as possible to an objective, market-related norm for expected whole business </w:t>
      </w:r>
      <w:r w:rsidR="00884291" w:rsidRPr="001C139B">
        <w:rPr>
          <w:b/>
          <w:bCs/>
          <w:color w:val="auto"/>
        </w:rPr>
        <w:t>returns</w:t>
      </w:r>
      <w:r w:rsidRPr="001C139B">
        <w:rPr>
          <w:b/>
          <w:bCs/>
          <w:color w:val="auto"/>
        </w:rPr>
        <w:t xml:space="preserve"> at the individual home level</w:t>
      </w:r>
      <w:r w:rsidRPr="001C139B">
        <w:rPr>
          <w:rStyle w:val="FootnoteReference"/>
          <w:b/>
          <w:bCs/>
          <w:color w:val="auto"/>
        </w:rPr>
        <w:footnoteReference w:id="15"/>
      </w:r>
      <w:r w:rsidRPr="001C139B">
        <w:rPr>
          <w:b/>
          <w:bCs/>
          <w:color w:val="auto"/>
        </w:rPr>
        <w:t>.</w:t>
      </w:r>
    </w:p>
    <w:p w14:paraId="0E127084" w14:textId="77777777" w:rsidR="00FB78D3" w:rsidRPr="001C139B" w:rsidRDefault="00FB78D3" w:rsidP="00FB78D3">
      <w:pPr>
        <w:spacing w:after="0" w:line="280" w:lineRule="exact"/>
        <w:jc w:val="both"/>
        <w:rPr>
          <w:color w:val="auto"/>
        </w:rPr>
      </w:pPr>
    </w:p>
    <w:p w14:paraId="747339D0" w14:textId="77777777" w:rsidR="00FB78D3" w:rsidRPr="001C139B" w:rsidRDefault="006C3538" w:rsidP="00FB78D3">
      <w:pPr>
        <w:spacing w:after="0" w:line="280" w:lineRule="exact"/>
        <w:jc w:val="both"/>
        <w:rPr>
          <w:color w:val="auto"/>
        </w:rPr>
      </w:pPr>
      <w:r w:rsidRPr="001C139B">
        <w:rPr>
          <w:color w:val="auto"/>
        </w:rPr>
        <w:t>One of the merits of the approach described is that it is independent of capital structure. It side-steps the near impossible task of calculating capital costs for an infinite combination of financing options - mortgages, other loans, leases and the imputed cost of the proprietor’s own capital, or, just as bad, choosing a single capital structure as a ‘standard’ for the purposes of calculating capital costs.</w:t>
      </w:r>
    </w:p>
    <w:p w14:paraId="037DD3CE" w14:textId="77777777" w:rsidR="00DD63F7" w:rsidRPr="001C139B" w:rsidRDefault="00DD63F7" w:rsidP="005B70E8">
      <w:pPr>
        <w:spacing w:after="0" w:line="280" w:lineRule="exact"/>
        <w:jc w:val="both"/>
        <w:rPr>
          <w:color w:val="auto"/>
          <w:lang w:eastAsia="en-GB"/>
        </w:rPr>
      </w:pPr>
    </w:p>
    <w:p w14:paraId="0D334767" w14:textId="77777777" w:rsidR="00E958E1" w:rsidRPr="001C139B" w:rsidRDefault="006C3538" w:rsidP="005B70E8">
      <w:pPr>
        <w:spacing w:after="0" w:line="280" w:lineRule="exact"/>
        <w:jc w:val="both"/>
        <w:rPr>
          <w:color w:val="auto"/>
          <w:lang w:eastAsia="en-GB"/>
        </w:rPr>
      </w:pPr>
      <w:r w:rsidRPr="001C139B">
        <w:rPr>
          <w:color w:val="auto"/>
          <w:lang w:eastAsia="en-GB"/>
        </w:rPr>
        <w:t xml:space="preserve">The whole business benchmark </w:t>
      </w:r>
      <w:r w:rsidR="00A73ECE" w:rsidRPr="001C139B">
        <w:rPr>
          <w:color w:val="auto"/>
          <w:lang w:eastAsia="en-GB"/>
        </w:rPr>
        <w:t xml:space="preserve">rate of </w:t>
      </w:r>
      <w:r w:rsidRPr="001C139B">
        <w:rPr>
          <w:color w:val="auto"/>
          <w:lang w:eastAsia="en-GB"/>
        </w:rPr>
        <w:t xml:space="preserve">return </w:t>
      </w:r>
      <w:r w:rsidR="00A73ECE" w:rsidRPr="001C139B">
        <w:rPr>
          <w:color w:val="auto"/>
          <w:lang w:eastAsia="en-GB"/>
        </w:rPr>
        <w:t>(</w:t>
      </w:r>
      <w:r w:rsidRPr="001C139B">
        <w:rPr>
          <w:color w:val="auto"/>
          <w:lang w:eastAsia="en-GB"/>
        </w:rPr>
        <w:t>of 11%</w:t>
      </w:r>
      <w:r w:rsidR="00A73ECE" w:rsidRPr="001C139B">
        <w:rPr>
          <w:color w:val="auto"/>
          <w:lang w:eastAsia="en-GB"/>
        </w:rPr>
        <w:t>)</w:t>
      </w:r>
      <w:r w:rsidRPr="001C139B">
        <w:rPr>
          <w:color w:val="auto"/>
          <w:lang w:eastAsia="en-GB"/>
        </w:rPr>
        <w:t xml:space="preserve"> </w:t>
      </w:r>
      <w:r w:rsidR="00A73ECE" w:rsidRPr="001C139B">
        <w:rPr>
          <w:color w:val="auto"/>
          <w:lang w:eastAsia="en-GB"/>
        </w:rPr>
        <w:t>is</w:t>
      </w:r>
      <w:r w:rsidRPr="001C139B">
        <w:rPr>
          <w:color w:val="auto"/>
          <w:lang w:eastAsia="en-GB"/>
        </w:rPr>
        <w:t xml:space="preserve"> made up of two components, which are aligned with DHSC guidance:</w:t>
      </w:r>
    </w:p>
    <w:p w14:paraId="0346EB6D" w14:textId="77777777" w:rsidR="00E958E1" w:rsidRPr="001C139B" w:rsidRDefault="00E958E1" w:rsidP="005B70E8">
      <w:pPr>
        <w:spacing w:after="0" w:line="280" w:lineRule="exact"/>
        <w:jc w:val="both"/>
        <w:rPr>
          <w:color w:val="auto"/>
          <w:lang w:eastAsia="en-GB"/>
        </w:rPr>
      </w:pPr>
    </w:p>
    <w:p w14:paraId="52C26021" w14:textId="77777777" w:rsidR="00E958E1" w:rsidRPr="001C139B" w:rsidRDefault="006C3538" w:rsidP="00182F79">
      <w:pPr>
        <w:pStyle w:val="ListParagraph"/>
        <w:numPr>
          <w:ilvl w:val="0"/>
          <w:numId w:val="38"/>
        </w:numPr>
        <w:spacing w:line="280" w:lineRule="exact"/>
        <w:jc w:val="both"/>
        <w:rPr>
          <w:color w:val="auto"/>
        </w:rPr>
      </w:pPr>
      <w:r w:rsidRPr="001C139B">
        <w:rPr>
          <w:color w:val="auto"/>
        </w:rPr>
        <w:t>The rate of r</w:t>
      </w:r>
      <w:r w:rsidR="00851FED" w:rsidRPr="001C139B">
        <w:rPr>
          <w:color w:val="auto"/>
        </w:rPr>
        <w:t xml:space="preserve">eturn on </w:t>
      </w:r>
      <w:r w:rsidRPr="001C139B">
        <w:rPr>
          <w:color w:val="auto"/>
        </w:rPr>
        <w:t>c</w:t>
      </w:r>
      <w:r w:rsidR="00851FED" w:rsidRPr="001C139B">
        <w:rPr>
          <w:color w:val="auto"/>
        </w:rPr>
        <w:t>apital tied up in the care home accommodation asset</w:t>
      </w:r>
      <w:r w:rsidRPr="001C139B">
        <w:rPr>
          <w:color w:val="auto"/>
        </w:rPr>
        <w:t>, for which LaingBuisson recommends 6% per annum</w:t>
      </w:r>
      <w:r w:rsidR="005B52FD" w:rsidRPr="001C139B">
        <w:rPr>
          <w:color w:val="auto"/>
        </w:rPr>
        <w:t>, see Section A</w:t>
      </w:r>
      <w:r w:rsidRPr="001C139B">
        <w:rPr>
          <w:color w:val="auto"/>
        </w:rPr>
        <w:t>1.</w:t>
      </w:r>
      <w:r w:rsidR="00B55392" w:rsidRPr="001C139B">
        <w:rPr>
          <w:color w:val="auto"/>
        </w:rPr>
        <w:t>2.2</w:t>
      </w:r>
      <w:r w:rsidR="005B52FD" w:rsidRPr="001C139B">
        <w:rPr>
          <w:color w:val="auto"/>
        </w:rPr>
        <w:t>;</w:t>
      </w:r>
    </w:p>
    <w:p w14:paraId="05EEC04A" w14:textId="77777777" w:rsidR="00E958E1" w:rsidRPr="001C139B" w:rsidRDefault="00E958E1" w:rsidP="00E958E1">
      <w:pPr>
        <w:pStyle w:val="ListParagraph"/>
        <w:spacing w:line="280" w:lineRule="exact"/>
        <w:jc w:val="both"/>
        <w:rPr>
          <w:color w:val="auto"/>
        </w:rPr>
      </w:pPr>
    </w:p>
    <w:p w14:paraId="33538963" w14:textId="77777777" w:rsidR="00851FED" w:rsidRPr="001C139B" w:rsidRDefault="006C3538" w:rsidP="00182F79">
      <w:pPr>
        <w:pStyle w:val="ListParagraph"/>
        <w:numPr>
          <w:ilvl w:val="0"/>
          <w:numId w:val="38"/>
        </w:numPr>
        <w:spacing w:line="280" w:lineRule="exact"/>
        <w:jc w:val="both"/>
        <w:rPr>
          <w:color w:val="auto"/>
        </w:rPr>
      </w:pPr>
      <w:r w:rsidRPr="001C139B">
        <w:rPr>
          <w:color w:val="auto"/>
        </w:rPr>
        <w:t>Return on Operations for delivering the care home service</w:t>
      </w:r>
      <w:r w:rsidR="00E958E1" w:rsidRPr="001C139B">
        <w:rPr>
          <w:color w:val="auto"/>
        </w:rPr>
        <w:t xml:space="preserve">, which </w:t>
      </w:r>
      <w:r w:rsidR="005B52FD" w:rsidRPr="001C139B">
        <w:rPr>
          <w:color w:val="auto"/>
        </w:rPr>
        <w:t xml:space="preserve">Laing Buisson recommends should </w:t>
      </w:r>
      <w:r w:rsidR="00E958E1" w:rsidRPr="001C139B">
        <w:rPr>
          <w:color w:val="auto"/>
        </w:rPr>
        <w:t>make up the balance of the 11% whole business EBITDARM return at the individual home level</w:t>
      </w:r>
      <w:r w:rsidR="005B52FD" w:rsidRPr="001C139B">
        <w:rPr>
          <w:color w:val="auto"/>
        </w:rPr>
        <w:t>, see Section A</w:t>
      </w:r>
      <w:r w:rsidR="00A73ECE" w:rsidRPr="001C139B">
        <w:rPr>
          <w:color w:val="auto"/>
        </w:rPr>
        <w:t>1.</w:t>
      </w:r>
      <w:r w:rsidR="005B52FD" w:rsidRPr="001C139B">
        <w:rPr>
          <w:color w:val="auto"/>
        </w:rPr>
        <w:t>2</w:t>
      </w:r>
      <w:r w:rsidR="00B55392" w:rsidRPr="001C139B">
        <w:rPr>
          <w:color w:val="auto"/>
        </w:rPr>
        <w:t>.3</w:t>
      </w:r>
      <w:r w:rsidR="00A73ECE" w:rsidRPr="001C139B">
        <w:rPr>
          <w:color w:val="auto"/>
        </w:rPr>
        <w:t>.</w:t>
      </w:r>
      <w:r w:rsidRPr="001C139B">
        <w:rPr>
          <w:color w:val="auto"/>
        </w:rPr>
        <w:t xml:space="preserve"> </w:t>
      </w:r>
    </w:p>
    <w:p w14:paraId="26CA5EC7" w14:textId="77777777" w:rsidR="005B52FD" w:rsidRPr="001C139B" w:rsidRDefault="005B52FD" w:rsidP="005B70E8">
      <w:pPr>
        <w:spacing w:after="0" w:line="280" w:lineRule="exact"/>
        <w:jc w:val="both"/>
        <w:rPr>
          <w:color w:val="auto"/>
          <w:lang w:eastAsia="en-GB"/>
        </w:rPr>
      </w:pPr>
    </w:p>
    <w:p w14:paraId="3CA2BA88" w14:textId="77777777" w:rsidR="00687FFB" w:rsidRPr="001C139B" w:rsidRDefault="006C3538" w:rsidP="00F842CC">
      <w:pPr>
        <w:spacing w:after="0" w:line="280" w:lineRule="exact"/>
        <w:jc w:val="both"/>
        <w:rPr>
          <w:color w:val="auto"/>
          <w:lang w:eastAsia="en-GB"/>
        </w:rPr>
      </w:pPr>
      <w:r w:rsidRPr="001C139B">
        <w:rPr>
          <w:color w:val="auto"/>
          <w:lang w:eastAsia="en-GB"/>
        </w:rPr>
        <w:t xml:space="preserve">The rationale </w:t>
      </w:r>
      <w:r w:rsidR="00B55392" w:rsidRPr="001C139B">
        <w:rPr>
          <w:color w:val="auto"/>
          <w:lang w:eastAsia="en-GB"/>
        </w:rPr>
        <w:t xml:space="preserve">for the split </w:t>
      </w:r>
      <w:r w:rsidRPr="001C139B">
        <w:rPr>
          <w:color w:val="auto"/>
          <w:lang w:eastAsia="en-GB"/>
        </w:rPr>
        <w:t xml:space="preserve">is </w:t>
      </w:r>
      <w:r w:rsidR="005B52FD" w:rsidRPr="001C139B">
        <w:rPr>
          <w:color w:val="auto"/>
          <w:lang w:eastAsia="en-GB"/>
        </w:rPr>
        <w:t>described in the next two sections</w:t>
      </w:r>
      <w:r w:rsidRPr="001C139B">
        <w:rPr>
          <w:color w:val="auto"/>
          <w:lang w:eastAsia="en-GB"/>
        </w:rPr>
        <w:t>.</w:t>
      </w:r>
    </w:p>
    <w:p w14:paraId="49DABCC3" w14:textId="77777777" w:rsidR="00687FFB" w:rsidRDefault="00687FFB" w:rsidP="00F842CC">
      <w:pPr>
        <w:spacing w:after="0" w:line="280" w:lineRule="exact"/>
        <w:jc w:val="both"/>
        <w:rPr>
          <w:lang w:eastAsia="en-GB"/>
        </w:rPr>
      </w:pPr>
    </w:p>
    <w:p w14:paraId="67885802" w14:textId="77777777" w:rsidR="002D1FEC" w:rsidRPr="004E490F" w:rsidRDefault="006C3538" w:rsidP="00B55392">
      <w:pPr>
        <w:pStyle w:val="Heading3"/>
      </w:pPr>
      <w:bookmarkStart w:id="58" w:name="_Toc116555575"/>
      <w:r w:rsidRPr="004E490F">
        <w:t>A</w:t>
      </w:r>
      <w:r w:rsidR="00BD1A74">
        <w:t>1.</w:t>
      </w:r>
      <w:r w:rsidR="00B55392">
        <w:t>2.2</w:t>
      </w:r>
      <w:r w:rsidRPr="004E490F">
        <w:t xml:space="preserve"> Return on </w:t>
      </w:r>
      <w:r w:rsidR="006742F9">
        <w:t>capital</w:t>
      </w:r>
      <w:r w:rsidRPr="004E490F">
        <w:t xml:space="preserve"> </w:t>
      </w:r>
      <w:r w:rsidR="00634518">
        <w:t>invested</w:t>
      </w:r>
      <w:r w:rsidR="006742F9">
        <w:t xml:space="preserve"> in</w:t>
      </w:r>
      <w:r w:rsidRPr="004E490F">
        <w:t xml:space="preserve"> care home</w:t>
      </w:r>
      <w:r w:rsidR="006742F9">
        <w:t xml:space="preserve"> accommodation</w:t>
      </w:r>
      <w:bookmarkEnd w:id="58"/>
    </w:p>
    <w:p w14:paraId="74A53664" w14:textId="77777777" w:rsidR="002D1FEC" w:rsidRPr="00C74F68" w:rsidRDefault="002D1FEC" w:rsidP="00F842CC">
      <w:pPr>
        <w:spacing w:after="0" w:line="280" w:lineRule="exact"/>
        <w:jc w:val="both"/>
        <w:rPr>
          <w:lang w:eastAsia="en-GB"/>
        </w:rPr>
      </w:pPr>
    </w:p>
    <w:p w14:paraId="0124893A" w14:textId="77777777" w:rsidR="004E490F" w:rsidRPr="001C139B" w:rsidRDefault="006C3538" w:rsidP="00F842CC">
      <w:pPr>
        <w:pStyle w:val="NormalWeb"/>
        <w:shd w:val="clear" w:color="auto" w:fill="FFFFFF"/>
        <w:spacing w:before="0" w:beforeAutospacing="0" w:after="0" w:afterAutospacing="0" w:line="280" w:lineRule="exact"/>
        <w:jc w:val="both"/>
        <w:rPr>
          <w:rFonts w:ascii="Franklin Gothic Book" w:hAnsi="Franklin Gothic Book" w:cs="Arial"/>
          <w:color w:val="auto"/>
          <w:sz w:val="22"/>
          <w:szCs w:val="22"/>
        </w:rPr>
      </w:pPr>
      <w:r w:rsidRPr="001C139B">
        <w:rPr>
          <w:rFonts w:ascii="Franklin Gothic Book" w:hAnsi="Franklin Gothic Book"/>
          <w:color w:val="auto"/>
          <w:sz w:val="22"/>
          <w:szCs w:val="22"/>
        </w:rPr>
        <w:t>DHSC guidance</w:t>
      </w:r>
      <w:r w:rsidRPr="001C139B">
        <w:rPr>
          <w:rStyle w:val="FootnoteReference"/>
          <w:rFonts w:ascii="Franklin Gothic Book" w:hAnsi="Franklin Gothic Book"/>
          <w:color w:val="auto"/>
          <w:sz w:val="22"/>
          <w:szCs w:val="22"/>
        </w:rPr>
        <w:footnoteReference w:id="16"/>
      </w:r>
      <w:r w:rsidRPr="001C139B">
        <w:rPr>
          <w:rFonts w:ascii="Franklin Gothic Book" w:hAnsi="Franklin Gothic Book"/>
          <w:color w:val="auto"/>
          <w:sz w:val="22"/>
          <w:szCs w:val="22"/>
        </w:rPr>
        <w:t xml:space="preserve"> </w:t>
      </w:r>
      <w:r w:rsidR="00B045E8" w:rsidRPr="001C139B">
        <w:rPr>
          <w:rFonts w:ascii="Franklin Gothic Book" w:hAnsi="Franklin Gothic Book"/>
          <w:color w:val="auto"/>
          <w:sz w:val="22"/>
          <w:szCs w:val="22"/>
        </w:rPr>
        <w:t xml:space="preserve">cites the Competition and Markets Authority’s </w:t>
      </w:r>
      <w:r w:rsidR="006A3A39" w:rsidRPr="001C139B">
        <w:rPr>
          <w:rFonts w:ascii="Franklin Gothic Book" w:hAnsi="Franklin Gothic Book"/>
          <w:color w:val="auto"/>
          <w:sz w:val="22"/>
          <w:szCs w:val="22"/>
        </w:rPr>
        <w:t>advice</w:t>
      </w:r>
      <w:r w:rsidRPr="001C139B">
        <w:rPr>
          <w:rFonts w:ascii="Franklin Gothic Book" w:hAnsi="Franklin Gothic Book"/>
          <w:color w:val="auto"/>
          <w:sz w:val="22"/>
          <w:szCs w:val="22"/>
        </w:rPr>
        <w:t xml:space="preserve"> </w:t>
      </w:r>
      <w:r w:rsidR="006A3A39" w:rsidRPr="001C139B">
        <w:rPr>
          <w:rFonts w:ascii="Franklin Gothic Book" w:hAnsi="Franklin Gothic Book"/>
          <w:color w:val="auto"/>
          <w:sz w:val="22"/>
          <w:szCs w:val="22"/>
        </w:rPr>
        <w:t>in its 2017 report on the care home market</w:t>
      </w:r>
      <w:r w:rsidRPr="001C139B">
        <w:rPr>
          <w:rStyle w:val="FootnoteReference"/>
          <w:rFonts w:ascii="Franklin Gothic Book" w:hAnsi="Franklin Gothic Book"/>
          <w:color w:val="auto"/>
          <w:sz w:val="22"/>
          <w:szCs w:val="22"/>
        </w:rPr>
        <w:footnoteReference w:id="17"/>
      </w:r>
      <w:r w:rsidR="006A3A39" w:rsidRPr="001C139B">
        <w:rPr>
          <w:rFonts w:ascii="Franklin Gothic Book" w:hAnsi="Franklin Gothic Book"/>
          <w:color w:val="auto"/>
          <w:sz w:val="22"/>
          <w:szCs w:val="22"/>
        </w:rPr>
        <w:t xml:space="preserve">, </w:t>
      </w:r>
      <w:r w:rsidRPr="001C139B">
        <w:rPr>
          <w:rFonts w:ascii="Franklin Gothic Book" w:hAnsi="Franklin Gothic Book"/>
          <w:color w:val="auto"/>
          <w:sz w:val="22"/>
          <w:szCs w:val="22"/>
        </w:rPr>
        <w:t xml:space="preserve">that </w:t>
      </w:r>
      <w:r w:rsidR="006A3A39" w:rsidRPr="001C139B">
        <w:rPr>
          <w:rFonts w:ascii="Franklin Gothic Book" w:hAnsi="Franklin Gothic Book"/>
          <w:color w:val="auto"/>
          <w:sz w:val="22"/>
          <w:szCs w:val="22"/>
        </w:rPr>
        <w:t xml:space="preserve">the </w:t>
      </w:r>
      <w:r w:rsidR="00B045E8" w:rsidRPr="001C139B">
        <w:rPr>
          <w:rFonts w:ascii="Franklin Gothic Book" w:hAnsi="Franklin Gothic Book"/>
          <w:color w:val="auto"/>
          <w:sz w:val="22"/>
          <w:szCs w:val="22"/>
        </w:rPr>
        <w:t>cost of capital</w:t>
      </w:r>
      <w:r w:rsidR="006A3A39" w:rsidRPr="001C139B">
        <w:rPr>
          <w:rFonts w:ascii="Franklin Gothic Book" w:hAnsi="Franklin Gothic Book"/>
          <w:color w:val="auto"/>
          <w:sz w:val="22"/>
          <w:szCs w:val="22"/>
        </w:rPr>
        <w:t xml:space="preserve"> for care homes</w:t>
      </w:r>
      <w:r w:rsidR="00B045E8" w:rsidRPr="001C139B">
        <w:rPr>
          <w:rFonts w:ascii="Franklin Gothic Book" w:hAnsi="Franklin Gothic Book"/>
          <w:color w:val="auto"/>
          <w:sz w:val="22"/>
          <w:szCs w:val="22"/>
        </w:rPr>
        <w:t xml:space="preserve"> should be calculated as the product of </w:t>
      </w:r>
      <w:r w:rsidRPr="001C139B">
        <w:rPr>
          <w:rFonts w:ascii="Franklin Gothic Book" w:hAnsi="Franklin Gothic Book" w:cs="Arial"/>
          <w:color w:val="auto"/>
          <w:sz w:val="22"/>
          <w:szCs w:val="22"/>
        </w:rPr>
        <w:t xml:space="preserve">a) the </w:t>
      </w:r>
      <w:r w:rsidRPr="001C139B">
        <w:rPr>
          <w:rFonts w:ascii="Franklin Gothic Book" w:hAnsi="Franklin Gothic Book" w:cs="Arial"/>
          <w:b/>
          <w:bCs/>
          <w:color w:val="auto"/>
          <w:sz w:val="22"/>
          <w:szCs w:val="22"/>
        </w:rPr>
        <w:t>value of</w:t>
      </w:r>
      <w:r w:rsidRPr="001C139B">
        <w:rPr>
          <w:rFonts w:ascii="Franklin Gothic Book" w:hAnsi="Franklin Gothic Book" w:cs="Arial"/>
          <w:color w:val="auto"/>
          <w:sz w:val="22"/>
          <w:szCs w:val="22"/>
        </w:rPr>
        <w:t xml:space="preserve"> </w:t>
      </w:r>
      <w:r w:rsidRPr="001C139B">
        <w:rPr>
          <w:rFonts w:ascii="Franklin Gothic Book" w:hAnsi="Franklin Gothic Book" w:cs="Arial"/>
          <w:b/>
          <w:bCs/>
          <w:color w:val="auto"/>
          <w:sz w:val="22"/>
          <w:szCs w:val="22"/>
        </w:rPr>
        <w:t>the assets invested in the care home</w:t>
      </w:r>
      <w:r w:rsidR="00B045E8" w:rsidRPr="001C139B">
        <w:rPr>
          <w:rFonts w:ascii="Franklin Gothic Book" w:hAnsi="Franklin Gothic Book" w:cs="Arial"/>
          <w:color w:val="auto"/>
          <w:sz w:val="22"/>
          <w:szCs w:val="22"/>
        </w:rPr>
        <w:t xml:space="preserve"> and </w:t>
      </w:r>
      <w:r w:rsidRPr="001C139B">
        <w:rPr>
          <w:rFonts w:ascii="Franklin Gothic Book" w:hAnsi="Franklin Gothic Book" w:cs="Arial"/>
          <w:color w:val="auto"/>
          <w:sz w:val="22"/>
          <w:szCs w:val="22"/>
        </w:rPr>
        <w:t xml:space="preserve">(b) the </w:t>
      </w:r>
      <w:r w:rsidRPr="001C139B">
        <w:rPr>
          <w:rFonts w:ascii="Franklin Gothic Book" w:hAnsi="Franklin Gothic Book" w:cs="Arial"/>
          <w:b/>
          <w:bCs/>
          <w:color w:val="auto"/>
          <w:sz w:val="22"/>
          <w:szCs w:val="22"/>
        </w:rPr>
        <w:t>required percentage annual return on capital</w:t>
      </w:r>
      <w:r w:rsidR="00B045E8" w:rsidRPr="001C139B">
        <w:rPr>
          <w:rFonts w:ascii="Franklin Gothic Book" w:hAnsi="Franklin Gothic Book" w:cs="Arial"/>
          <w:color w:val="auto"/>
          <w:sz w:val="22"/>
          <w:szCs w:val="22"/>
        </w:rPr>
        <w:t xml:space="preserve">. This is the same approach as used in LaingBuisson’s </w:t>
      </w:r>
      <w:r w:rsidR="00B045E8" w:rsidRPr="001C139B">
        <w:rPr>
          <w:rFonts w:ascii="Franklin Gothic Book" w:hAnsi="Franklin Gothic Book" w:cs="Arial"/>
          <w:i/>
          <w:iCs/>
          <w:color w:val="auto"/>
          <w:sz w:val="22"/>
          <w:szCs w:val="22"/>
        </w:rPr>
        <w:t>Care Cost Benchmarks</w:t>
      </w:r>
      <w:r w:rsidR="00B045E8" w:rsidRPr="001C139B">
        <w:rPr>
          <w:rFonts w:ascii="Franklin Gothic Book" w:hAnsi="Franklin Gothic Book" w:cs="Arial"/>
          <w:color w:val="auto"/>
          <w:sz w:val="22"/>
          <w:szCs w:val="22"/>
        </w:rPr>
        <w:t xml:space="preserve"> </w:t>
      </w:r>
      <w:r w:rsidR="00687FFB" w:rsidRPr="001C139B">
        <w:rPr>
          <w:rFonts w:ascii="Franklin Gothic Book" w:hAnsi="Franklin Gothic Book" w:cs="Arial"/>
          <w:color w:val="auto"/>
          <w:sz w:val="22"/>
          <w:szCs w:val="22"/>
        </w:rPr>
        <w:t>model.</w:t>
      </w:r>
    </w:p>
    <w:p w14:paraId="71B122F3" w14:textId="77777777" w:rsidR="004E490F" w:rsidRPr="001C139B" w:rsidRDefault="004E490F" w:rsidP="00F842CC">
      <w:pPr>
        <w:pStyle w:val="NormalWeb"/>
        <w:shd w:val="clear" w:color="auto" w:fill="FFFFFF"/>
        <w:spacing w:before="0" w:beforeAutospacing="0" w:after="0" w:afterAutospacing="0" w:line="280" w:lineRule="exact"/>
        <w:jc w:val="both"/>
        <w:rPr>
          <w:rFonts w:ascii="Franklin Gothic Book" w:hAnsi="Franklin Gothic Book" w:cs="Arial"/>
          <w:color w:val="auto"/>
          <w:sz w:val="22"/>
          <w:szCs w:val="22"/>
        </w:rPr>
      </w:pPr>
    </w:p>
    <w:p w14:paraId="3396BCEA" w14:textId="77777777" w:rsidR="00BD1A74" w:rsidRPr="001C139B" w:rsidRDefault="006C3538" w:rsidP="00BD1A74">
      <w:pPr>
        <w:spacing w:after="0" w:line="280" w:lineRule="exact"/>
        <w:jc w:val="both"/>
        <w:rPr>
          <w:color w:val="auto"/>
          <w:lang w:eastAsia="en-GB"/>
        </w:rPr>
      </w:pPr>
      <w:r w:rsidRPr="001C139B">
        <w:rPr>
          <w:color w:val="auto"/>
          <w:lang w:eastAsia="en-GB"/>
        </w:rPr>
        <w:t>In addition to capital tied up in the care home accommodation asset, providers will have working capital requirements, but these are relatively small and have been ignored in these calculations.</w:t>
      </w:r>
    </w:p>
    <w:p w14:paraId="38DA2CF5" w14:textId="77777777" w:rsidR="005B52FD" w:rsidRDefault="005B52FD" w:rsidP="00AC2EB3"/>
    <w:p w14:paraId="24FB8594" w14:textId="77777777" w:rsidR="004E490F" w:rsidRDefault="006C3538" w:rsidP="00687FFB">
      <w:pPr>
        <w:pStyle w:val="Heading4"/>
      </w:pPr>
      <w:r>
        <w:t>A</w:t>
      </w:r>
      <w:r w:rsidR="00BD1A74">
        <w:t>1.</w:t>
      </w:r>
      <w:r w:rsidR="00687FFB">
        <w:t>2</w:t>
      </w:r>
      <w:r>
        <w:t>.</w:t>
      </w:r>
      <w:r w:rsidR="00687FFB">
        <w:t>2.</w:t>
      </w:r>
      <w:r>
        <w:t>1 Value of assets</w:t>
      </w:r>
    </w:p>
    <w:p w14:paraId="604038AF" w14:textId="77777777" w:rsidR="004E490F" w:rsidRDefault="004E490F" w:rsidP="00F842CC">
      <w:pPr>
        <w:pStyle w:val="NormalWeb"/>
        <w:shd w:val="clear" w:color="auto" w:fill="FFFFFF"/>
        <w:spacing w:before="0" w:beforeAutospacing="0" w:after="0" w:afterAutospacing="0" w:line="280" w:lineRule="exact"/>
        <w:jc w:val="both"/>
        <w:rPr>
          <w:rFonts w:ascii="Franklin Gothic Book" w:hAnsi="Franklin Gothic Book" w:cs="Arial"/>
          <w:color w:val="0B0C0C"/>
          <w:sz w:val="22"/>
          <w:szCs w:val="22"/>
        </w:rPr>
      </w:pPr>
    </w:p>
    <w:p w14:paraId="1ACB7B13" w14:textId="77777777" w:rsidR="00C74F68" w:rsidRPr="001C139B" w:rsidRDefault="006C3538" w:rsidP="00F842CC">
      <w:pPr>
        <w:pStyle w:val="NormalWeb"/>
        <w:shd w:val="clear" w:color="auto" w:fill="FFFFFF"/>
        <w:spacing w:before="0" w:beforeAutospacing="0" w:after="0" w:afterAutospacing="0" w:line="280" w:lineRule="exact"/>
        <w:jc w:val="both"/>
        <w:rPr>
          <w:rFonts w:ascii="Franklin Gothic Book" w:hAnsi="Franklin Gothic Book" w:cs="Arial"/>
          <w:color w:val="auto"/>
          <w:sz w:val="22"/>
          <w:szCs w:val="22"/>
        </w:rPr>
      </w:pPr>
      <w:r w:rsidRPr="001C139B">
        <w:rPr>
          <w:rFonts w:ascii="Franklin Gothic Book" w:hAnsi="Franklin Gothic Book" w:cs="Arial"/>
          <w:color w:val="auto"/>
          <w:sz w:val="22"/>
          <w:szCs w:val="22"/>
        </w:rPr>
        <w:t>The IESE toolkit for care homes contains a field for providers to record the ‘Red Book’ valuation</w:t>
      </w:r>
      <w:r w:rsidR="00076F4D" w:rsidRPr="001C139B">
        <w:rPr>
          <w:rFonts w:ascii="Franklin Gothic Book" w:hAnsi="Franklin Gothic Book" w:cs="Arial"/>
          <w:color w:val="auto"/>
          <w:sz w:val="22"/>
          <w:szCs w:val="22"/>
        </w:rPr>
        <w:t xml:space="preserve"> for the care home in question</w:t>
      </w:r>
      <w:r w:rsidR="004E490F" w:rsidRPr="001C139B">
        <w:rPr>
          <w:rFonts w:ascii="Franklin Gothic Book" w:hAnsi="Franklin Gothic Book" w:cs="Arial"/>
          <w:color w:val="auto"/>
          <w:sz w:val="22"/>
          <w:szCs w:val="22"/>
        </w:rPr>
        <w:t xml:space="preserve"> and the year of that valuation</w:t>
      </w:r>
      <w:r w:rsidR="00076F4D" w:rsidRPr="001C139B">
        <w:rPr>
          <w:rFonts w:ascii="Franklin Gothic Book" w:hAnsi="Franklin Gothic Book" w:cs="Arial"/>
          <w:color w:val="auto"/>
          <w:sz w:val="22"/>
          <w:szCs w:val="22"/>
        </w:rPr>
        <w:t>. The ‘Red Book’ refers to guidance from the Royal Institute of Chartered Surveyors (RICS) on how to make a whole business valuation of a freehold care home business. It is done by applying a</w:t>
      </w:r>
      <w:r w:rsidR="00BD1A74" w:rsidRPr="001C139B">
        <w:rPr>
          <w:rFonts w:ascii="Franklin Gothic Book" w:hAnsi="Franklin Gothic Book" w:cs="Arial"/>
          <w:color w:val="auto"/>
          <w:sz w:val="22"/>
          <w:szCs w:val="22"/>
        </w:rPr>
        <w:t>n appropriate</w:t>
      </w:r>
      <w:r w:rsidR="00076F4D" w:rsidRPr="001C139B">
        <w:rPr>
          <w:rFonts w:ascii="Franklin Gothic Book" w:hAnsi="Franklin Gothic Book" w:cs="Arial"/>
          <w:color w:val="auto"/>
          <w:sz w:val="22"/>
          <w:szCs w:val="22"/>
        </w:rPr>
        <w:t xml:space="preserve"> multiple </w:t>
      </w:r>
      <w:r w:rsidR="00CC5351" w:rsidRPr="001C139B">
        <w:rPr>
          <w:rFonts w:ascii="Franklin Gothic Book" w:hAnsi="Franklin Gothic Book" w:cs="Arial"/>
          <w:color w:val="auto"/>
          <w:sz w:val="22"/>
          <w:szCs w:val="22"/>
        </w:rPr>
        <w:t xml:space="preserve">to </w:t>
      </w:r>
      <w:r w:rsidR="00634518" w:rsidRPr="001C139B">
        <w:rPr>
          <w:rFonts w:ascii="Franklin Gothic Book" w:hAnsi="Franklin Gothic Book" w:cs="Arial"/>
          <w:color w:val="auto"/>
          <w:sz w:val="22"/>
          <w:szCs w:val="22"/>
        </w:rPr>
        <w:t>its</w:t>
      </w:r>
      <w:r w:rsidR="00CC5351" w:rsidRPr="001C139B">
        <w:rPr>
          <w:rFonts w:ascii="Franklin Gothic Book" w:hAnsi="Franklin Gothic Book" w:cs="Arial"/>
          <w:color w:val="auto"/>
          <w:sz w:val="22"/>
          <w:szCs w:val="22"/>
        </w:rPr>
        <w:t xml:space="preserve"> sustainable annual operating profits. It should be noted that the term ‘sustainable’ means that any premium due to exceptionally strong management is discounted and the home is valued according to the sustainable operating profits that the valuer considers competent </w:t>
      </w:r>
      <w:r w:rsidR="006A3A39" w:rsidRPr="001C139B">
        <w:rPr>
          <w:rFonts w:ascii="Franklin Gothic Book" w:hAnsi="Franklin Gothic Book" w:cs="Arial"/>
          <w:color w:val="auto"/>
          <w:sz w:val="22"/>
          <w:szCs w:val="22"/>
        </w:rPr>
        <w:t xml:space="preserve">replacement </w:t>
      </w:r>
      <w:r w:rsidR="00CC5351" w:rsidRPr="001C139B">
        <w:rPr>
          <w:rFonts w:ascii="Franklin Gothic Book" w:hAnsi="Franklin Gothic Book" w:cs="Arial"/>
          <w:color w:val="auto"/>
          <w:sz w:val="22"/>
          <w:szCs w:val="22"/>
        </w:rPr>
        <w:t>management could achieve.</w:t>
      </w:r>
    </w:p>
    <w:p w14:paraId="0B3D5827" w14:textId="77777777" w:rsidR="00C74F68" w:rsidRPr="001C139B" w:rsidRDefault="00C74F68" w:rsidP="00F842CC">
      <w:pPr>
        <w:spacing w:after="0" w:line="280" w:lineRule="exact"/>
        <w:jc w:val="both"/>
        <w:rPr>
          <w:color w:val="auto"/>
          <w:lang w:eastAsia="en-GB"/>
        </w:rPr>
      </w:pPr>
    </w:p>
    <w:p w14:paraId="79BC9F0C" w14:textId="78951CA8" w:rsidR="00F842CC" w:rsidRPr="001C139B" w:rsidRDefault="006C3538" w:rsidP="00CE1A25">
      <w:pPr>
        <w:spacing w:after="0" w:line="280" w:lineRule="exact"/>
        <w:jc w:val="both"/>
        <w:rPr>
          <w:color w:val="auto"/>
          <w:lang w:eastAsia="en-GB"/>
        </w:rPr>
      </w:pPr>
      <w:r w:rsidRPr="001C139B">
        <w:rPr>
          <w:color w:val="auto"/>
          <w:lang w:eastAsia="en-GB"/>
        </w:rPr>
        <w:t>The ’Red Book’ valuations in the</w:t>
      </w:r>
      <w:r w:rsidR="00A05CC3" w:rsidRPr="001C139B">
        <w:rPr>
          <w:color w:val="auto"/>
          <w:lang w:eastAsia="en-GB"/>
        </w:rPr>
        <w:t xml:space="preserve"> care home</w:t>
      </w:r>
      <w:r w:rsidRPr="001C139B">
        <w:rPr>
          <w:color w:val="auto"/>
          <w:lang w:eastAsia="en-GB"/>
        </w:rPr>
        <w:t xml:space="preserve"> toolkit returns have been adjusted for inflation</w:t>
      </w:r>
      <w:r w:rsidR="00A05CC3" w:rsidRPr="001C139B">
        <w:rPr>
          <w:color w:val="auto"/>
          <w:lang w:eastAsia="en-GB"/>
        </w:rPr>
        <w:t xml:space="preserve"> (since the year of valuation) and expressed as a 2022/23 £ value per resident in the home by the home master spreadsheet which accompanies this report</w:t>
      </w:r>
      <w:r w:rsidR="00CE1A25" w:rsidRPr="001C139B">
        <w:rPr>
          <w:color w:val="auto"/>
          <w:lang w:eastAsia="en-GB"/>
        </w:rPr>
        <w:t>. Among the 20 Sheffield toolkits which reported valuations, the median figure was £</w:t>
      </w:r>
      <w:r w:rsidR="00A87D84">
        <w:rPr>
          <w:color w:val="auto"/>
          <w:lang w:eastAsia="en-GB"/>
        </w:rPr>
        <w:t>51,120</w:t>
      </w:r>
      <w:r w:rsidR="00CE1A25" w:rsidRPr="001C139B">
        <w:rPr>
          <w:color w:val="auto"/>
          <w:lang w:eastAsia="en-GB"/>
        </w:rPr>
        <w:t xml:space="preserve"> per </w:t>
      </w:r>
      <w:r w:rsidR="00A87D84">
        <w:rPr>
          <w:color w:val="auto"/>
          <w:lang w:eastAsia="en-GB"/>
        </w:rPr>
        <w:t>bed, which works out at £</w:t>
      </w:r>
      <w:r w:rsidR="0001267B">
        <w:rPr>
          <w:color w:val="auto"/>
          <w:lang w:eastAsia="en-GB"/>
        </w:rPr>
        <w:t>68.55</w:t>
      </w:r>
      <w:r w:rsidR="00A87D84">
        <w:rPr>
          <w:color w:val="auto"/>
          <w:lang w:eastAsia="en-GB"/>
        </w:rPr>
        <w:t xml:space="preserve"> per resident per week.</w:t>
      </w:r>
      <w:r w:rsidR="00CE1A25" w:rsidRPr="001C139B">
        <w:rPr>
          <w:color w:val="auto"/>
          <w:lang w:eastAsia="en-GB"/>
        </w:rPr>
        <w:t xml:space="preserve"> </w:t>
      </w:r>
    </w:p>
    <w:p w14:paraId="11FC3C8B" w14:textId="636204AE" w:rsidR="00CE1A25" w:rsidRDefault="00CE1A25" w:rsidP="00CE1A25">
      <w:pPr>
        <w:spacing w:after="0" w:line="280" w:lineRule="exact"/>
        <w:jc w:val="both"/>
        <w:rPr>
          <w:lang w:eastAsia="en-GB"/>
        </w:rPr>
      </w:pPr>
    </w:p>
    <w:p w14:paraId="425A69D1" w14:textId="77777777" w:rsidR="0001267B" w:rsidRPr="00F842CC" w:rsidRDefault="0001267B" w:rsidP="00CE1A25">
      <w:pPr>
        <w:spacing w:after="0" w:line="280" w:lineRule="exact"/>
        <w:jc w:val="both"/>
        <w:rPr>
          <w:lang w:eastAsia="en-GB"/>
        </w:rPr>
      </w:pPr>
    </w:p>
    <w:p w14:paraId="542E7A5B" w14:textId="77777777" w:rsidR="0055253E" w:rsidRDefault="006C3538" w:rsidP="00BD1A74">
      <w:pPr>
        <w:pStyle w:val="Heading4"/>
      </w:pPr>
      <w:r>
        <w:lastRenderedPageBreak/>
        <w:t>A1.</w:t>
      </w:r>
      <w:r w:rsidR="00BD1A74">
        <w:t>2.</w:t>
      </w:r>
      <w:r w:rsidR="00994CDA">
        <w:t>2</w:t>
      </w:r>
      <w:r w:rsidR="00BD1A74">
        <w:t>.2</w:t>
      </w:r>
      <w:r>
        <w:t xml:space="preserve"> </w:t>
      </w:r>
      <w:r w:rsidR="00F842CC">
        <w:t>Percentage annual r</w:t>
      </w:r>
      <w:r>
        <w:t>eturn on capital</w:t>
      </w:r>
    </w:p>
    <w:p w14:paraId="1618DD96" w14:textId="77777777" w:rsidR="0099068E" w:rsidRDefault="0099068E" w:rsidP="00F5113D">
      <w:pPr>
        <w:spacing w:after="0" w:line="280" w:lineRule="exact"/>
        <w:jc w:val="both"/>
        <w:rPr>
          <w:lang w:eastAsia="en-GB"/>
        </w:rPr>
      </w:pPr>
    </w:p>
    <w:p w14:paraId="52F985E1" w14:textId="77777777" w:rsidR="0099068E" w:rsidRPr="001C139B" w:rsidRDefault="006C3538" w:rsidP="00F5113D">
      <w:pPr>
        <w:spacing w:after="0" w:line="280" w:lineRule="exact"/>
        <w:jc w:val="both"/>
        <w:rPr>
          <w:color w:val="auto"/>
        </w:rPr>
      </w:pPr>
      <w:r w:rsidRPr="001C139B">
        <w:rPr>
          <w:color w:val="auto"/>
        </w:rPr>
        <w:t>The provision of care homes in the UK now takes place almost entirely outside the public sector. It is mainly undertaken by for-profit providers and will remain so for the foreseeable future</w:t>
      </w:r>
      <w:r w:rsidR="0077527D" w:rsidRPr="001C139B">
        <w:rPr>
          <w:color w:val="auto"/>
        </w:rPr>
        <w:t xml:space="preserve">. </w:t>
      </w:r>
      <w:r w:rsidRPr="001C139B">
        <w:rPr>
          <w:color w:val="auto"/>
        </w:rPr>
        <w:t>Care home development and operation is viewed by the business community as a moderately risky activity and investors</w:t>
      </w:r>
      <w:r w:rsidR="008250CA" w:rsidRPr="001C139B">
        <w:rPr>
          <w:color w:val="auto"/>
        </w:rPr>
        <w:t xml:space="preserve"> in care home property, whether they are care home operators themselves or third-party property investors,</w:t>
      </w:r>
      <w:r w:rsidRPr="001C139B">
        <w:rPr>
          <w:color w:val="auto"/>
        </w:rPr>
        <w:t xml:space="preserve"> expect a reasonable rate of return on capital</w:t>
      </w:r>
      <w:r w:rsidR="008250CA" w:rsidRPr="001C139B">
        <w:rPr>
          <w:color w:val="auto"/>
        </w:rPr>
        <w:t>. From a public policy perspective, the return should be sufficient to</w:t>
      </w:r>
      <w:r w:rsidRPr="001C139B">
        <w:rPr>
          <w:color w:val="auto"/>
        </w:rPr>
        <w:t xml:space="preserve">: </w:t>
      </w:r>
    </w:p>
    <w:p w14:paraId="4991E008" w14:textId="77777777" w:rsidR="0099068E" w:rsidRPr="001C139B" w:rsidRDefault="0099068E" w:rsidP="00F5113D">
      <w:pPr>
        <w:spacing w:after="0" w:line="280" w:lineRule="exact"/>
        <w:jc w:val="both"/>
        <w:rPr>
          <w:color w:val="auto"/>
        </w:rPr>
      </w:pPr>
    </w:p>
    <w:p w14:paraId="7C4C5DD5" w14:textId="77777777" w:rsidR="0099068E" w:rsidRPr="001C139B" w:rsidRDefault="006C3538" w:rsidP="00182F79">
      <w:pPr>
        <w:pStyle w:val="ListParagraph"/>
        <w:numPr>
          <w:ilvl w:val="0"/>
          <w:numId w:val="38"/>
        </w:numPr>
        <w:spacing w:line="280" w:lineRule="exact"/>
        <w:jc w:val="both"/>
        <w:rPr>
          <w:color w:val="auto"/>
        </w:rPr>
      </w:pPr>
      <w:r w:rsidRPr="001C139B">
        <w:rPr>
          <w:color w:val="auto"/>
        </w:rPr>
        <w:t xml:space="preserve">Attract investment in new care home capacity to meet </w:t>
      </w:r>
      <w:r w:rsidR="0077527D" w:rsidRPr="001C139B">
        <w:rPr>
          <w:color w:val="auto"/>
        </w:rPr>
        <w:t xml:space="preserve">potentially </w:t>
      </w:r>
      <w:r w:rsidRPr="001C139B">
        <w:rPr>
          <w:color w:val="auto"/>
        </w:rPr>
        <w:t>increasing underlying demand driven by the ageing population;</w:t>
      </w:r>
    </w:p>
    <w:p w14:paraId="18B8A6CC" w14:textId="77777777" w:rsidR="0077527D" w:rsidRPr="001C139B" w:rsidRDefault="0077527D" w:rsidP="0077527D">
      <w:pPr>
        <w:pStyle w:val="ListParagraph"/>
        <w:spacing w:line="280" w:lineRule="exact"/>
        <w:jc w:val="both"/>
        <w:rPr>
          <w:color w:val="auto"/>
        </w:rPr>
      </w:pPr>
    </w:p>
    <w:p w14:paraId="7EE3A1AB" w14:textId="77777777" w:rsidR="0077527D" w:rsidRPr="001C139B" w:rsidRDefault="006C3538" w:rsidP="00182F79">
      <w:pPr>
        <w:pStyle w:val="ListParagraph"/>
        <w:numPr>
          <w:ilvl w:val="0"/>
          <w:numId w:val="38"/>
        </w:numPr>
        <w:spacing w:line="280" w:lineRule="exact"/>
        <w:jc w:val="both"/>
        <w:rPr>
          <w:color w:val="auto"/>
        </w:rPr>
      </w:pPr>
      <w:r w:rsidRPr="001C139B">
        <w:rPr>
          <w:color w:val="auto"/>
        </w:rPr>
        <w:t>Incentivise existing operators to continue in business and upgrade their physical assets where appropriate;</w:t>
      </w:r>
    </w:p>
    <w:p w14:paraId="7DBE1AD9" w14:textId="77777777" w:rsidR="006A5068" w:rsidRPr="001C139B" w:rsidRDefault="006A5068" w:rsidP="006A5068">
      <w:pPr>
        <w:spacing w:line="280" w:lineRule="exact"/>
        <w:jc w:val="both"/>
        <w:rPr>
          <w:color w:val="auto"/>
        </w:rPr>
      </w:pPr>
    </w:p>
    <w:p w14:paraId="0118EF3F" w14:textId="77777777" w:rsidR="0099068E" w:rsidRPr="001C139B" w:rsidRDefault="006C3538" w:rsidP="00182F79">
      <w:pPr>
        <w:pStyle w:val="ListParagraph"/>
        <w:numPr>
          <w:ilvl w:val="0"/>
          <w:numId w:val="38"/>
        </w:numPr>
        <w:spacing w:line="280" w:lineRule="exact"/>
        <w:jc w:val="both"/>
        <w:rPr>
          <w:color w:val="auto"/>
        </w:rPr>
      </w:pPr>
      <w:r w:rsidRPr="001C139B">
        <w:rPr>
          <w:color w:val="auto"/>
        </w:rPr>
        <w:t>Encourage providers of new and existing homes to make services accessible to publicly as well as privately paying residents.</w:t>
      </w:r>
    </w:p>
    <w:p w14:paraId="349EF378" w14:textId="77777777" w:rsidR="005B2956" w:rsidRPr="001C139B" w:rsidRDefault="005B2956" w:rsidP="00F5113D">
      <w:pPr>
        <w:spacing w:after="0" w:line="280" w:lineRule="exact"/>
        <w:jc w:val="both"/>
        <w:rPr>
          <w:color w:val="auto"/>
        </w:rPr>
      </w:pPr>
    </w:p>
    <w:p w14:paraId="50EF032F" w14:textId="77777777" w:rsidR="0099068E" w:rsidRPr="001C139B" w:rsidRDefault="006C3538" w:rsidP="00F5113D">
      <w:pPr>
        <w:spacing w:after="0" w:line="280" w:lineRule="exact"/>
        <w:jc w:val="both"/>
        <w:rPr>
          <w:color w:val="auto"/>
        </w:rPr>
      </w:pPr>
      <w:r w:rsidRPr="001C139B">
        <w:rPr>
          <w:color w:val="auto"/>
        </w:rPr>
        <w:t>A</w:t>
      </w:r>
      <w:r w:rsidR="005A4A3F" w:rsidRPr="001C139B">
        <w:rPr>
          <w:color w:val="auto"/>
        </w:rPr>
        <w:t>n</w:t>
      </w:r>
      <w:r w:rsidRPr="001C139B">
        <w:rPr>
          <w:color w:val="auto"/>
        </w:rPr>
        <w:t xml:space="preserve"> objective measure of the annual cost of providing the accommodation (property) is required, independent of the care and other services provided within the property. This is readily </w:t>
      </w:r>
      <w:r w:rsidR="00D1010D" w:rsidRPr="001C139B">
        <w:rPr>
          <w:color w:val="auto"/>
        </w:rPr>
        <w:t>available from</w:t>
      </w:r>
      <w:r w:rsidRPr="001C139B">
        <w:rPr>
          <w:color w:val="auto"/>
        </w:rPr>
        <w:t xml:space="preserve"> the price that a care home operator typically has to pay for a long-term</w:t>
      </w:r>
      <w:r w:rsidR="006C0C6F" w:rsidRPr="001C139B">
        <w:rPr>
          <w:color w:val="auto"/>
        </w:rPr>
        <w:t xml:space="preserve"> (c. 25 years)</w:t>
      </w:r>
      <w:r w:rsidRPr="001C139B">
        <w:rPr>
          <w:color w:val="auto"/>
        </w:rPr>
        <w:t xml:space="preserve"> lease on a turnkey care home asset. </w:t>
      </w:r>
      <w:r w:rsidR="006C0C6F" w:rsidRPr="001C139B">
        <w:rPr>
          <w:color w:val="auto"/>
        </w:rPr>
        <w:t>Much of the care home capacity that has come on stream in recent years has been financed by this means</w:t>
      </w:r>
      <w:r w:rsidRPr="001C139B">
        <w:rPr>
          <w:rStyle w:val="FootnoteReference"/>
          <w:color w:val="auto"/>
        </w:rPr>
        <w:footnoteReference w:id="18"/>
      </w:r>
      <w:r w:rsidR="006C0C6F" w:rsidRPr="001C139B">
        <w:rPr>
          <w:color w:val="auto"/>
        </w:rPr>
        <w:t xml:space="preserve">. </w:t>
      </w:r>
      <w:r w:rsidRPr="001C139B">
        <w:rPr>
          <w:color w:val="auto"/>
        </w:rPr>
        <w:t xml:space="preserve">The consensus view is that a yield of </w:t>
      </w:r>
      <w:r w:rsidR="003B27AA" w:rsidRPr="001C139B">
        <w:rPr>
          <w:color w:val="auto"/>
        </w:rPr>
        <w:t>6%-</w:t>
      </w:r>
      <w:r w:rsidRPr="001C139B">
        <w:rPr>
          <w:color w:val="auto"/>
        </w:rPr>
        <w:t>7%</w:t>
      </w:r>
      <w:r w:rsidR="005B2956" w:rsidRPr="001C139B">
        <w:rPr>
          <w:color w:val="auto"/>
        </w:rPr>
        <w:t xml:space="preserve"> </w:t>
      </w:r>
      <w:r w:rsidRPr="001C139B">
        <w:rPr>
          <w:color w:val="auto"/>
        </w:rPr>
        <w:t>plus would be expected by a property investor leasing premises to an operator with a moderate covenant, though a yield of as low as 5% may be adequate for assets leased to the handful of operators with a strong balance sheet and excellent covenant</w:t>
      </w:r>
      <w:r w:rsidRPr="001C139B">
        <w:rPr>
          <w:rStyle w:val="FootnoteReference"/>
          <w:color w:val="auto"/>
        </w:rPr>
        <w:footnoteReference w:id="19"/>
      </w:r>
      <w:r w:rsidRPr="001C139B">
        <w:rPr>
          <w:color w:val="auto"/>
        </w:rPr>
        <w:t>. Th</w:t>
      </w:r>
      <w:r w:rsidR="00442A3E" w:rsidRPr="001C139B">
        <w:rPr>
          <w:color w:val="auto"/>
        </w:rPr>
        <w:t>ese rates</w:t>
      </w:r>
      <w:r w:rsidRPr="001C139B">
        <w:rPr>
          <w:color w:val="auto"/>
        </w:rPr>
        <w:t xml:space="preserve"> can be equated to the cost to a care home business of providing accommodation. The </w:t>
      </w:r>
      <w:r w:rsidR="00FF3753" w:rsidRPr="001C139B">
        <w:rPr>
          <w:color w:val="auto"/>
        </w:rPr>
        <w:t xml:space="preserve">range is </w:t>
      </w:r>
      <w:r w:rsidRPr="001C139B">
        <w:rPr>
          <w:color w:val="auto"/>
        </w:rPr>
        <w:t>higher than a typical mortgage rate because it reflects the cost of (riskier) 100% finance.</w:t>
      </w:r>
    </w:p>
    <w:p w14:paraId="7C59F714" w14:textId="77777777" w:rsidR="006C0C6F" w:rsidRPr="001C139B" w:rsidRDefault="006C0C6F" w:rsidP="00F5113D">
      <w:pPr>
        <w:spacing w:after="0" w:line="280" w:lineRule="exact"/>
        <w:jc w:val="both"/>
        <w:rPr>
          <w:color w:val="auto"/>
        </w:rPr>
      </w:pPr>
    </w:p>
    <w:p w14:paraId="2268AA10" w14:textId="77777777" w:rsidR="005E5F50" w:rsidRPr="001C139B" w:rsidRDefault="006C3538" w:rsidP="005E5F50">
      <w:pPr>
        <w:spacing w:after="0" w:line="280" w:lineRule="exact"/>
        <w:jc w:val="both"/>
        <w:rPr>
          <w:rFonts w:cs="Arial"/>
          <w:color w:val="auto"/>
          <w:u w:val="single"/>
        </w:rPr>
      </w:pPr>
      <w:r w:rsidRPr="001C139B">
        <w:rPr>
          <w:color w:val="auto"/>
        </w:rPr>
        <w:t>Based on th</w:t>
      </w:r>
      <w:r w:rsidR="00442A3E" w:rsidRPr="001C139B">
        <w:rPr>
          <w:color w:val="auto"/>
        </w:rPr>
        <w:t>is</w:t>
      </w:r>
      <w:r w:rsidRPr="001C139B">
        <w:rPr>
          <w:color w:val="auto"/>
        </w:rPr>
        <w:t xml:space="preserve"> evidence</w:t>
      </w:r>
      <w:r w:rsidR="000665BC" w:rsidRPr="001C139B">
        <w:rPr>
          <w:color w:val="auto"/>
        </w:rPr>
        <w:t>,</w:t>
      </w:r>
      <w:r w:rsidR="000665BC" w:rsidRPr="001C139B">
        <w:rPr>
          <w:b/>
          <w:bCs/>
          <w:color w:val="auto"/>
        </w:rPr>
        <w:t xml:space="preserve"> LaingBuisson’s </w:t>
      </w:r>
      <w:r w:rsidR="000665BC" w:rsidRPr="001C139B">
        <w:rPr>
          <w:b/>
          <w:bCs/>
          <w:i/>
          <w:iCs/>
          <w:color w:val="auto"/>
        </w:rPr>
        <w:t>Care Cost Benchmarks</w:t>
      </w:r>
      <w:r w:rsidR="000665BC" w:rsidRPr="001C139B">
        <w:rPr>
          <w:b/>
          <w:bCs/>
          <w:color w:val="auto"/>
        </w:rPr>
        <w:t xml:space="preserve"> model proposes a Return on Capital benchmark rate of 6% per annum</w:t>
      </w:r>
      <w:r w:rsidR="00442A3E" w:rsidRPr="001C139B">
        <w:rPr>
          <w:b/>
          <w:bCs/>
          <w:color w:val="auto"/>
        </w:rPr>
        <w:t xml:space="preserve"> for care home property</w:t>
      </w:r>
      <w:r w:rsidR="000665BC" w:rsidRPr="001C139B">
        <w:rPr>
          <w:b/>
          <w:bCs/>
          <w:color w:val="auto"/>
        </w:rPr>
        <w:t xml:space="preserve">, </w:t>
      </w:r>
      <w:r w:rsidR="000665BC" w:rsidRPr="001C139B">
        <w:rPr>
          <w:color w:val="auto"/>
        </w:rPr>
        <w:t xml:space="preserve">being at the lower end of the yield range of 6%-7% plus for care home operators with a moderate covenant, which is representative of the bulk of the UK care home market for older people. </w:t>
      </w:r>
      <w:r w:rsidRPr="001C139B">
        <w:rPr>
          <w:color w:val="auto"/>
        </w:rPr>
        <w:t>This conclusion is consistent with the DHSC ‘</w:t>
      </w:r>
      <w:r w:rsidRPr="001C139B">
        <w:rPr>
          <w:rFonts w:cs="Arial"/>
          <w:color w:val="auto"/>
        </w:rPr>
        <w:t>Potential approach 1’, as set out in Box 1.</w:t>
      </w:r>
      <w:r w:rsidRPr="001C139B">
        <w:rPr>
          <w:rFonts w:cs="Arial"/>
          <w:color w:val="auto"/>
          <w:u w:val="single"/>
        </w:rPr>
        <w:t xml:space="preserve"> </w:t>
      </w:r>
    </w:p>
    <w:p w14:paraId="2450DB97" w14:textId="77777777" w:rsidR="005E5F50" w:rsidRPr="001C139B" w:rsidRDefault="005E5F50" w:rsidP="005E5F50">
      <w:pPr>
        <w:spacing w:after="0" w:line="280" w:lineRule="exact"/>
        <w:jc w:val="both"/>
        <w:rPr>
          <w:rFonts w:cs="Arial"/>
          <w:color w:val="auto"/>
          <w:u w:val="single"/>
        </w:rPr>
      </w:pPr>
    </w:p>
    <w:p w14:paraId="4D04F709" w14:textId="77777777" w:rsidR="00442A3E" w:rsidRDefault="006C3538" w:rsidP="00F5113D">
      <w:pPr>
        <w:spacing w:after="0" w:line="280" w:lineRule="exact"/>
        <w:jc w:val="both"/>
      </w:pPr>
      <w:r w:rsidRPr="005E5F50">
        <w:rPr>
          <w:rFonts w:cs="Arial"/>
          <w:color w:val="0B0C0C"/>
        </w:rPr>
        <w:lastRenderedPageBreak/>
        <w:t xml:space="preserve">We have </w:t>
      </w:r>
      <w:r>
        <w:rPr>
          <w:rFonts w:cs="Arial"/>
          <w:color w:val="0B0C0C"/>
        </w:rPr>
        <w:t>rejected</w:t>
      </w:r>
      <w:r w:rsidR="00881172">
        <w:rPr>
          <w:rFonts w:cs="Arial"/>
          <w:color w:val="0B0C0C"/>
        </w:rPr>
        <w:t xml:space="preserve"> the DHSC’s </w:t>
      </w:r>
      <w:r w:rsidR="00881172">
        <w:t>‘</w:t>
      </w:r>
      <w:r w:rsidR="00881172" w:rsidRPr="005E5F50">
        <w:rPr>
          <w:rFonts w:cs="Arial"/>
          <w:color w:val="0B0C0C"/>
        </w:rPr>
        <w:t xml:space="preserve">Potential approach </w:t>
      </w:r>
      <w:r w:rsidR="00881172">
        <w:rPr>
          <w:rFonts w:cs="Arial"/>
          <w:color w:val="0B0C0C"/>
        </w:rPr>
        <w:t>2</w:t>
      </w:r>
      <w:r w:rsidR="00881172" w:rsidRPr="005E5F50">
        <w:rPr>
          <w:rFonts w:cs="Arial"/>
          <w:color w:val="0B0C0C"/>
        </w:rPr>
        <w:t>’</w:t>
      </w:r>
      <w:r w:rsidR="00881172">
        <w:rPr>
          <w:rFonts w:cs="Arial"/>
          <w:color w:val="0B0C0C"/>
        </w:rPr>
        <w:t xml:space="preserve"> as set out in Box 1. We do not believe that LHA rates can be considered a good proxy for sustainable care home returns since the risk profile of residential property investment is different from the risk profile of care home investment.</w:t>
      </w:r>
    </w:p>
    <w:p w14:paraId="5286038A" w14:textId="77777777" w:rsidR="00442A3E" w:rsidRDefault="00442A3E" w:rsidP="00F5113D">
      <w:pPr>
        <w:spacing w:after="0" w:line="280" w:lineRule="exact"/>
        <w:jc w:val="both"/>
      </w:pPr>
    </w:p>
    <w:p w14:paraId="7A4294DA" w14:textId="77777777" w:rsidR="00442A3E" w:rsidRPr="004E490F" w:rsidRDefault="006C3538" w:rsidP="00442A3E">
      <w:pPr>
        <w:pStyle w:val="Heading3"/>
      </w:pPr>
      <w:bookmarkStart w:id="59" w:name="_Toc116555576"/>
      <w:r w:rsidRPr="004E490F">
        <w:t>A</w:t>
      </w:r>
      <w:r>
        <w:t>1.2.3</w:t>
      </w:r>
      <w:r w:rsidRPr="004E490F">
        <w:t xml:space="preserve"> Return on </w:t>
      </w:r>
      <w:r>
        <w:t>operations</w:t>
      </w:r>
      <w:r w:rsidR="003915D6">
        <w:t xml:space="preserve"> for care homes</w:t>
      </w:r>
      <w:bookmarkEnd w:id="59"/>
    </w:p>
    <w:p w14:paraId="67557996" w14:textId="77777777" w:rsidR="00442A3E" w:rsidRDefault="00442A3E" w:rsidP="00F5113D">
      <w:pPr>
        <w:spacing w:after="0" w:line="280" w:lineRule="exact"/>
        <w:jc w:val="both"/>
      </w:pPr>
    </w:p>
    <w:p w14:paraId="55265C36" w14:textId="12A036D6" w:rsidR="00442A3E" w:rsidRPr="001C139B" w:rsidRDefault="006C3538" w:rsidP="00F5113D">
      <w:pPr>
        <w:spacing w:after="0" w:line="280" w:lineRule="exact"/>
        <w:jc w:val="both"/>
        <w:rPr>
          <w:color w:val="auto"/>
        </w:rPr>
      </w:pPr>
      <w:r w:rsidRPr="001C139B">
        <w:rPr>
          <w:color w:val="auto"/>
        </w:rPr>
        <w:t xml:space="preserve">In the approach described above, </w:t>
      </w:r>
      <w:r w:rsidR="00C47BF2" w:rsidRPr="001C139B">
        <w:rPr>
          <w:color w:val="auto"/>
        </w:rPr>
        <w:t>the</w:t>
      </w:r>
      <w:r w:rsidRPr="001C139B">
        <w:rPr>
          <w:color w:val="auto"/>
        </w:rPr>
        <w:t xml:space="preserve"> benchmark for r</w:t>
      </w:r>
      <w:r w:rsidR="00881172" w:rsidRPr="001C139B">
        <w:rPr>
          <w:color w:val="auto"/>
        </w:rPr>
        <w:t xml:space="preserve">eturn on operations </w:t>
      </w:r>
      <w:r w:rsidRPr="001C139B">
        <w:rPr>
          <w:color w:val="auto"/>
        </w:rPr>
        <w:t>can be derived by deducting the benchmark return on capital for the care home property asset (6%) from the benchmark whole business return on investment (11%, see section A1.2.1). The difference is 5%</w:t>
      </w:r>
      <w:r w:rsidR="00F02002" w:rsidRPr="001C139B">
        <w:rPr>
          <w:color w:val="auto"/>
        </w:rPr>
        <w:t>.</w:t>
      </w:r>
      <w:r w:rsidRPr="001C139B">
        <w:rPr>
          <w:color w:val="auto"/>
        </w:rPr>
        <w:t xml:space="preserve"> </w:t>
      </w:r>
      <w:r w:rsidR="00F02002" w:rsidRPr="001C139B">
        <w:rPr>
          <w:color w:val="auto"/>
        </w:rPr>
        <w:t>However,</w:t>
      </w:r>
      <w:r w:rsidRPr="001C139B">
        <w:rPr>
          <w:color w:val="auto"/>
        </w:rPr>
        <w:t xml:space="preserve"> this needs to be expressed not as a return on capital but as a mark-up on </w:t>
      </w:r>
      <w:r w:rsidR="00C47BF2" w:rsidRPr="001C139B">
        <w:rPr>
          <w:color w:val="auto"/>
        </w:rPr>
        <w:t>operating costs and head (in line with DHSC guidance, see Box 1)</w:t>
      </w:r>
      <w:r w:rsidR="00F02002" w:rsidRPr="001C139B">
        <w:rPr>
          <w:color w:val="auto"/>
        </w:rPr>
        <w:t>.</w:t>
      </w:r>
    </w:p>
    <w:p w14:paraId="3BAC72F6" w14:textId="77777777" w:rsidR="00F02002" w:rsidRPr="001C139B" w:rsidRDefault="00F02002" w:rsidP="00F5113D">
      <w:pPr>
        <w:spacing w:after="0" w:line="280" w:lineRule="exact"/>
        <w:jc w:val="both"/>
        <w:rPr>
          <w:color w:val="auto"/>
        </w:rPr>
      </w:pPr>
    </w:p>
    <w:p w14:paraId="61C31E0F" w14:textId="77777777" w:rsidR="00F02002" w:rsidRPr="001C139B" w:rsidRDefault="006C3538" w:rsidP="00F5113D">
      <w:pPr>
        <w:spacing w:after="0" w:line="280" w:lineRule="exact"/>
        <w:jc w:val="both"/>
        <w:rPr>
          <w:color w:val="auto"/>
        </w:rPr>
      </w:pPr>
      <w:r w:rsidRPr="001C139B">
        <w:rPr>
          <w:color w:val="auto"/>
        </w:rPr>
        <w:t>After adjusting for the different denominators</w:t>
      </w:r>
      <w:r w:rsidRPr="001C139B">
        <w:rPr>
          <w:b/>
          <w:bCs/>
          <w:color w:val="auto"/>
        </w:rPr>
        <w:t xml:space="preserve">, </w:t>
      </w:r>
      <w:r w:rsidR="00D92598" w:rsidRPr="001C139B">
        <w:rPr>
          <w:b/>
          <w:bCs/>
          <w:color w:val="auto"/>
        </w:rPr>
        <w:t>the return on operations benchmark can be re-expressed as a 10% mark-up on care home operating costs and head office costs</w:t>
      </w:r>
      <w:r w:rsidR="00D92598" w:rsidRPr="001C139B">
        <w:rPr>
          <w:color w:val="auto"/>
        </w:rPr>
        <w:t xml:space="preserve">. </w:t>
      </w:r>
    </w:p>
    <w:p w14:paraId="1565055C" w14:textId="77777777" w:rsidR="004C5B70" w:rsidRPr="001C139B" w:rsidRDefault="004C5B70" w:rsidP="00F5113D">
      <w:pPr>
        <w:spacing w:after="0" w:line="280" w:lineRule="exact"/>
        <w:jc w:val="both"/>
        <w:rPr>
          <w:color w:val="auto"/>
        </w:rPr>
      </w:pPr>
    </w:p>
    <w:p w14:paraId="5F8B6114" w14:textId="77777777" w:rsidR="004C5B70" w:rsidRPr="001C139B" w:rsidRDefault="006C3538" w:rsidP="00F5113D">
      <w:pPr>
        <w:spacing w:after="0" w:line="280" w:lineRule="exact"/>
        <w:jc w:val="both"/>
        <w:rPr>
          <w:color w:val="auto"/>
        </w:rPr>
      </w:pPr>
      <w:r w:rsidRPr="001C139B">
        <w:rPr>
          <w:color w:val="auto"/>
        </w:rPr>
        <w:t xml:space="preserve">There remains a subsidiary question over whether the </w:t>
      </w:r>
      <w:r w:rsidR="003915D6" w:rsidRPr="001C139B">
        <w:rPr>
          <w:color w:val="auto"/>
        </w:rPr>
        <w:t>mark-up should be the same for not-for-profit care homes as for for-profit care homes, given the typically lower profitability (surplus) aspirations of not-for-profits.</w:t>
      </w:r>
    </w:p>
    <w:p w14:paraId="01182120" w14:textId="77777777" w:rsidR="00442A3E" w:rsidRDefault="00442A3E" w:rsidP="00F5113D">
      <w:pPr>
        <w:spacing w:after="0" w:line="280" w:lineRule="exact"/>
        <w:jc w:val="both"/>
      </w:pPr>
    </w:p>
    <w:sectPr w:rsidR="00442A3E" w:rsidSect="00A016E4">
      <w:headerReference w:type="default" r:id="rId12"/>
      <w:footerReference w:type="default" r:id="rId13"/>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E897" w14:textId="77777777" w:rsidR="009933E0" w:rsidRDefault="006C3538">
      <w:pPr>
        <w:spacing w:after="0" w:line="240" w:lineRule="auto"/>
      </w:pPr>
      <w:r>
        <w:separator/>
      </w:r>
    </w:p>
  </w:endnote>
  <w:endnote w:type="continuationSeparator" w:id="0">
    <w:p w14:paraId="17C74C33" w14:textId="77777777" w:rsidR="009933E0" w:rsidRDefault="006C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auto"/>
    <w:pitch w:val="variable"/>
    <w:sig w:usb0="E0002AFF" w:usb1="C0007843" w:usb2="00000009" w:usb3="00000000" w:csb0="000001FF" w:csb1="00000000"/>
  </w:font>
  <w:font w:name="AGaramon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yntax-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115372"/>
      <w:docPartObj>
        <w:docPartGallery w:val="Page Numbers (Bottom of Page)"/>
        <w:docPartUnique/>
      </w:docPartObj>
    </w:sdtPr>
    <w:sdtEndPr>
      <w:rPr>
        <w:noProof/>
      </w:rPr>
    </w:sdtEndPr>
    <w:sdtContent>
      <w:p w14:paraId="5D461E76" w14:textId="77777777" w:rsidR="0005411C" w:rsidRDefault="006C3538">
        <w:pPr>
          <w:pStyle w:val="Footer"/>
        </w:pPr>
        <w:r>
          <w:fldChar w:fldCharType="begin"/>
        </w:r>
        <w:r>
          <w:instrText xml:space="preserve"> PAGE   \* MERGEFORMAT </w:instrText>
        </w:r>
        <w:r>
          <w:fldChar w:fldCharType="separate"/>
        </w:r>
        <w:r>
          <w:rPr>
            <w:noProof/>
          </w:rPr>
          <w:t>21</w:t>
        </w:r>
        <w:r>
          <w:rPr>
            <w:noProof/>
          </w:rPr>
          <w:fldChar w:fldCharType="end"/>
        </w:r>
      </w:p>
    </w:sdtContent>
  </w:sdt>
  <w:p w14:paraId="660B6D6E" w14:textId="77777777" w:rsidR="0005411C" w:rsidRDefault="00054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1180" w14:textId="77777777" w:rsidR="0005411C" w:rsidRDefault="006C3538" w:rsidP="00E26AC7">
      <w:pPr>
        <w:spacing w:after="0" w:line="240" w:lineRule="auto"/>
      </w:pPr>
      <w:r>
        <w:separator/>
      </w:r>
    </w:p>
  </w:footnote>
  <w:footnote w:type="continuationSeparator" w:id="0">
    <w:p w14:paraId="78F92CF1" w14:textId="77777777" w:rsidR="0005411C" w:rsidRDefault="006C3538" w:rsidP="00E26AC7">
      <w:pPr>
        <w:spacing w:after="0" w:line="240" w:lineRule="auto"/>
      </w:pPr>
      <w:r>
        <w:continuationSeparator/>
      </w:r>
    </w:p>
  </w:footnote>
  <w:footnote w:id="1">
    <w:p w14:paraId="460179B0" w14:textId="0454AAED" w:rsidR="004D5B0F" w:rsidRPr="00B70DBB" w:rsidRDefault="006C3538" w:rsidP="004D5B0F">
      <w:pPr>
        <w:pStyle w:val="Heading1"/>
        <w:shd w:val="clear" w:color="auto" w:fill="FFFFFF"/>
        <w:jc w:val="both"/>
        <w:rPr>
          <w:rFonts w:asciiTheme="minorHAnsi" w:hAnsiTheme="minorHAnsi" w:cstheme="minorHAnsi"/>
          <w:color w:val="0B0C0C"/>
          <w:sz w:val="20"/>
        </w:rPr>
      </w:pPr>
      <w:r w:rsidRPr="00B70DBB">
        <w:rPr>
          <w:rStyle w:val="FootnoteReference"/>
          <w:rFonts w:asciiTheme="minorHAnsi" w:hAnsiTheme="minorHAnsi" w:cstheme="minorHAnsi"/>
          <w:sz w:val="20"/>
          <w:vertAlign w:val="baseline"/>
        </w:rPr>
        <w:footnoteRef/>
      </w:r>
      <w:r w:rsidRPr="00B70DBB">
        <w:rPr>
          <w:rFonts w:asciiTheme="minorHAnsi" w:hAnsiTheme="minorHAnsi" w:cstheme="minorHAnsi"/>
          <w:sz w:val="20"/>
        </w:rPr>
        <w:t xml:space="preserve"> </w:t>
      </w:r>
      <w:r w:rsidRPr="00B70DBB">
        <w:rPr>
          <w:rFonts w:asciiTheme="minorHAnsi" w:hAnsiTheme="minorHAnsi" w:cstheme="minorHAnsi"/>
          <w:color w:val="0B0C0C"/>
          <w:sz w:val="20"/>
        </w:rPr>
        <w:t>Market Sustainability and Fair Cost of Care Fund 2022 to 2023: guidance</w:t>
      </w:r>
      <w:r w:rsidR="002D1FEC">
        <w:rPr>
          <w:rFonts w:asciiTheme="minorHAnsi" w:hAnsiTheme="minorHAnsi" w:cstheme="minorHAnsi"/>
          <w:color w:val="0B0C0C"/>
          <w:sz w:val="20"/>
        </w:rPr>
        <w:t>, updated 2</w:t>
      </w:r>
      <w:r w:rsidR="00ED27FE">
        <w:rPr>
          <w:rFonts w:asciiTheme="minorHAnsi" w:hAnsiTheme="minorHAnsi" w:cstheme="minorHAnsi"/>
          <w:color w:val="0B0C0C"/>
          <w:sz w:val="20"/>
        </w:rPr>
        <w:t>5</w:t>
      </w:r>
      <w:r w:rsidR="002D1FEC">
        <w:rPr>
          <w:rFonts w:asciiTheme="minorHAnsi" w:hAnsiTheme="minorHAnsi" w:cstheme="minorHAnsi"/>
          <w:color w:val="0B0C0C"/>
          <w:sz w:val="20"/>
        </w:rPr>
        <w:t xml:space="preserve"> </w:t>
      </w:r>
      <w:r w:rsidR="00ED27FE">
        <w:rPr>
          <w:rFonts w:asciiTheme="minorHAnsi" w:hAnsiTheme="minorHAnsi" w:cstheme="minorHAnsi"/>
          <w:color w:val="0B0C0C"/>
          <w:sz w:val="20"/>
        </w:rPr>
        <w:t>August</w:t>
      </w:r>
      <w:r w:rsidR="002D1FEC">
        <w:rPr>
          <w:rFonts w:asciiTheme="minorHAnsi" w:hAnsiTheme="minorHAnsi" w:cstheme="minorHAnsi"/>
          <w:color w:val="0B0C0C"/>
          <w:sz w:val="20"/>
        </w:rPr>
        <w:t xml:space="preserve"> 2022</w:t>
      </w:r>
    </w:p>
    <w:p w14:paraId="41A63632" w14:textId="77777777" w:rsidR="004D5B0F" w:rsidRDefault="00655B21" w:rsidP="004D5B0F">
      <w:pPr>
        <w:spacing w:after="0" w:line="240" w:lineRule="auto"/>
        <w:jc w:val="both"/>
        <w:rPr>
          <w:rStyle w:val="Hyperlink"/>
          <w:rFonts w:asciiTheme="minorHAnsi" w:hAnsiTheme="minorHAnsi" w:cstheme="minorHAnsi"/>
          <w:sz w:val="20"/>
          <w:szCs w:val="20"/>
        </w:rPr>
      </w:pPr>
      <w:hyperlink r:id="rId1" w:history="1">
        <w:r w:rsidR="006C3538" w:rsidRPr="00B70DBB">
          <w:rPr>
            <w:rStyle w:val="Hyperlink"/>
            <w:rFonts w:asciiTheme="minorHAnsi" w:hAnsiTheme="minorHAnsi" w:cstheme="minorHAnsi"/>
            <w:sz w:val="20"/>
            <w:szCs w:val="20"/>
          </w:rPr>
          <w:t>https://www.gov.uk/government/publications/market-sustainability-and-fair-cost-of-care-fund-2022-to-2023-guidance</w:t>
        </w:r>
      </w:hyperlink>
    </w:p>
    <w:p w14:paraId="2079ED2A" w14:textId="77777777" w:rsidR="004D5B0F" w:rsidRPr="00B70DBB" w:rsidRDefault="004D5B0F" w:rsidP="004D5B0F">
      <w:pPr>
        <w:spacing w:after="0" w:line="240" w:lineRule="auto"/>
        <w:jc w:val="both"/>
        <w:rPr>
          <w:rFonts w:asciiTheme="minorHAnsi" w:hAnsiTheme="minorHAnsi" w:cstheme="minorHAnsi"/>
          <w:sz w:val="20"/>
          <w:szCs w:val="20"/>
        </w:rPr>
      </w:pPr>
    </w:p>
  </w:footnote>
  <w:footnote w:id="2">
    <w:p w14:paraId="6C1B8EF3" w14:textId="77777777" w:rsidR="00322391" w:rsidRDefault="00322391" w:rsidP="006A0DF9">
      <w:pPr>
        <w:spacing w:after="0" w:line="240" w:lineRule="auto"/>
        <w:jc w:val="both"/>
        <w:rPr>
          <w:sz w:val="18"/>
        </w:rPr>
      </w:pPr>
    </w:p>
    <w:p w14:paraId="7ACEDCE1" w14:textId="77777777" w:rsidR="00322391" w:rsidRDefault="00322391" w:rsidP="006A0DF9">
      <w:pPr>
        <w:spacing w:after="0" w:line="240" w:lineRule="auto"/>
        <w:jc w:val="both"/>
        <w:rPr>
          <w:sz w:val="18"/>
        </w:rPr>
      </w:pPr>
    </w:p>
    <w:p w14:paraId="7361789A" w14:textId="7847EFFE" w:rsidR="006A0DF9" w:rsidRPr="006A0DF9" w:rsidRDefault="006A0DF9" w:rsidP="006A0DF9">
      <w:pPr>
        <w:spacing w:after="0" w:line="240" w:lineRule="auto"/>
        <w:jc w:val="both"/>
        <w:rPr>
          <w:sz w:val="18"/>
        </w:rPr>
      </w:pPr>
      <w:r w:rsidRPr="006A0DF9">
        <w:rPr>
          <w:rStyle w:val="FootnoteReference"/>
          <w:sz w:val="18"/>
        </w:rPr>
        <w:footnoteRef/>
      </w:r>
      <w:r w:rsidRPr="006A0DF9">
        <w:rPr>
          <w:sz w:val="18"/>
        </w:rPr>
        <w:t xml:space="preserve"> It should be noted that the segmentation into four care home modalities, Standard / Enhanced, Residential / Nursing, does not necessarily capture the full range of possible sub-segmentation that exists within the care home sector.</w:t>
      </w:r>
    </w:p>
    <w:p w14:paraId="3440F749" w14:textId="7D5CA2EE" w:rsidR="006A0DF9" w:rsidRDefault="006A0DF9">
      <w:pPr>
        <w:pStyle w:val="FootnoteText"/>
      </w:pPr>
    </w:p>
  </w:footnote>
  <w:footnote w:id="3">
    <w:p w14:paraId="0836022D" w14:textId="307121DB" w:rsidR="001B54C8" w:rsidRDefault="001B54C8">
      <w:pPr>
        <w:pStyle w:val="FootnoteText"/>
      </w:pPr>
      <w:r>
        <w:rPr>
          <w:rStyle w:val="FootnoteReference"/>
        </w:rPr>
        <w:footnoteRef/>
      </w:r>
      <w:r>
        <w:t xml:space="preserve"> </w:t>
      </w:r>
      <w:bookmarkStart w:id="6" w:name="_Hlk115721555"/>
      <w:r w:rsidRPr="001B54C8">
        <w:rPr>
          <w:rFonts w:asciiTheme="minorHAnsi" w:hAnsiTheme="minorHAnsi" w:cstheme="minorHAnsi"/>
          <w:sz w:val="18"/>
          <w:szCs w:val="18"/>
        </w:rPr>
        <w:t>Data from the Care Providers Alliance at September 2022</w:t>
      </w:r>
      <w:bookmarkEnd w:id="6"/>
    </w:p>
  </w:footnote>
  <w:footnote w:id="4">
    <w:p w14:paraId="6C86EBF2" w14:textId="77777777" w:rsidR="005E74AC" w:rsidRPr="0042308D" w:rsidRDefault="005E74AC" w:rsidP="005E74AC">
      <w:pPr>
        <w:pStyle w:val="FootnoteText"/>
        <w:rPr>
          <w:rFonts w:asciiTheme="minorHAnsi" w:hAnsiTheme="minorHAnsi" w:cstheme="minorHAnsi"/>
          <w:color w:val="auto"/>
          <w:sz w:val="18"/>
          <w:szCs w:val="18"/>
        </w:rPr>
      </w:pPr>
      <w:r w:rsidRPr="0042308D">
        <w:rPr>
          <w:rStyle w:val="FootnoteReference"/>
          <w:rFonts w:asciiTheme="minorHAnsi" w:hAnsiTheme="minorHAnsi" w:cstheme="minorHAnsi"/>
          <w:color w:val="auto"/>
          <w:sz w:val="18"/>
          <w:szCs w:val="18"/>
        </w:rPr>
        <w:footnoteRef/>
      </w:r>
      <w:r w:rsidRPr="0042308D">
        <w:rPr>
          <w:rFonts w:asciiTheme="minorHAnsi" w:hAnsiTheme="minorHAnsi" w:cstheme="minorHAnsi"/>
          <w:color w:val="auto"/>
          <w:sz w:val="18"/>
          <w:szCs w:val="18"/>
        </w:rPr>
        <w:t xml:space="preserve"> We cannot, however, rule out the possibility that providers may have overstated their costs, and it was not practicable within the timescale available to carry out a range of checks applied by LaingBuisson in other cost of care exercises, including requesting evidence of staff costs from payroll records.   </w:t>
      </w:r>
    </w:p>
  </w:footnote>
  <w:footnote w:id="5">
    <w:p w14:paraId="108F29A1" w14:textId="572DB9F6" w:rsidR="002B260A" w:rsidRPr="00182F79" w:rsidRDefault="002B260A">
      <w:pPr>
        <w:pStyle w:val="FootnoteText"/>
        <w:rPr>
          <w:rFonts w:asciiTheme="minorHAnsi" w:hAnsiTheme="minorHAnsi" w:cstheme="minorHAnsi"/>
          <w:color w:val="auto"/>
          <w:sz w:val="18"/>
          <w:szCs w:val="18"/>
        </w:rPr>
      </w:pPr>
      <w:r w:rsidRPr="00182F79">
        <w:rPr>
          <w:rStyle w:val="FootnoteReference"/>
          <w:rFonts w:asciiTheme="minorHAnsi" w:hAnsiTheme="minorHAnsi" w:cstheme="minorHAnsi"/>
          <w:sz w:val="18"/>
          <w:szCs w:val="18"/>
        </w:rPr>
        <w:footnoteRef/>
      </w:r>
      <w:r w:rsidRPr="00182F79">
        <w:rPr>
          <w:rFonts w:asciiTheme="minorHAnsi" w:hAnsiTheme="minorHAnsi" w:cstheme="minorHAnsi"/>
          <w:sz w:val="18"/>
          <w:szCs w:val="18"/>
        </w:rPr>
        <w:t xml:space="preserve"> </w:t>
      </w:r>
      <w:r w:rsidRPr="00182F79">
        <w:rPr>
          <w:rFonts w:asciiTheme="minorHAnsi" w:hAnsiTheme="minorHAnsi" w:cstheme="minorHAnsi"/>
          <w:color w:val="auto"/>
          <w:sz w:val="18"/>
          <w:szCs w:val="18"/>
        </w:rPr>
        <w:t xml:space="preserve">LaingBuisson has collected </w:t>
      </w:r>
      <w:r w:rsidR="001114F9">
        <w:rPr>
          <w:rFonts w:asciiTheme="minorHAnsi" w:hAnsiTheme="minorHAnsi" w:cstheme="minorHAnsi"/>
          <w:color w:val="auto"/>
          <w:sz w:val="18"/>
          <w:szCs w:val="18"/>
        </w:rPr>
        <w:t xml:space="preserve">cost </w:t>
      </w:r>
      <w:r w:rsidRPr="00182F79">
        <w:rPr>
          <w:rFonts w:asciiTheme="minorHAnsi" w:hAnsiTheme="minorHAnsi" w:cstheme="minorHAnsi"/>
          <w:color w:val="auto"/>
          <w:sz w:val="18"/>
          <w:szCs w:val="18"/>
        </w:rPr>
        <w:t xml:space="preserve">data from UK wide care home surveys </w:t>
      </w:r>
      <w:r w:rsidR="00686538">
        <w:rPr>
          <w:rFonts w:asciiTheme="minorHAnsi" w:hAnsiTheme="minorHAnsi" w:cstheme="minorHAnsi"/>
          <w:color w:val="auto"/>
          <w:sz w:val="18"/>
          <w:szCs w:val="18"/>
        </w:rPr>
        <w:t xml:space="preserve">and </w:t>
      </w:r>
      <w:r w:rsidR="00AA67F1">
        <w:rPr>
          <w:rFonts w:asciiTheme="minorHAnsi" w:hAnsiTheme="minorHAnsi" w:cstheme="minorHAnsi"/>
          <w:color w:val="auto"/>
          <w:sz w:val="18"/>
          <w:szCs w:val="18"/>
        </w:rPr>
        <w:t xml:space="preserve">local </w:t>
      </w:r>
      <w:r w:rsidR="00686538">
        <w:rPr>
          <w:rFonts w:asciiTheme="minorHAnsi" w:hAnsiTheme="minorHAnsi" w:cstheme="minorHAnsi"/>
          <w:color w:val="auto"/>
          <w:sz w:val="18"/>
          <w:szCs w:val="18"/>
        </w:rPr>
        <w:t xml:space="preserve">Fair Price exercises commissioned </w:t>
      </w:r>
      <w:r w:rsidR="00AA67F1">
        <w:rPr>
          <w:rFonts w:asciiTheme="minorHAnsi" w:hAnsiTheme="minorHAnsi" w:cstheme="minorHAnsi"/>
          <w:color w:val="auto"/>
          <w:sz w:val="18"/>
          <w:szCs w:val="18"/>
        </w:rPr>
        <w:t xml:space="preserve">by </w:t>
      </w:r>
      <w:r w:rsidR="00686538">
        <w:rPr>
          <w:rFonts w:asciiTheme="minorHAnsi" w:hAnsiTheme="minorHAnsi" w:cstheme="minorHAnsi"/>
          <w:color w:val="auto"/>
          <w:sz w:val="18"/>
          <w:szCs w:val="18"/>
        </w:rPr>
        <w:t xml:space="preserve">councils, the NHS and independent care associations </w:t>
      </w:r>
      <w:r w:rsidRPr="00182F79">
        <w:rPr>
          <w:rFonts w:asciiTheme="minorHAnsi" w:hAnsiTheme="minorHAnsi" w:cstheme="minorHAnsi"/>
          <w:color w:val="auto"/>
          <w:sz w:val="18"/>
          <w:szCs w:val="18"/>
        </w:rPr>
        <w:t>over more than a decad</w:t>
      </w:r>
      <w:r w:rsidR="00D27313">
        <w:rPr>
          <w:rFonts w:asciiTheme="minorHAnsi" w:hAnsiTheme="minorHAnsi" w:cstheme="minorHAnsi"/>
          <w:color w:val="auto"/>
          <w:sz w:val="18"/>
          <w:szCs w:val="18"/>
        </w:rPr>
        <w:t xml:space="preserve">e. </w:t>
      </w:r>
      <w:r w:rsidR="001114F9">
        <w:rPr>
          <w:rFonts w:asciiTheme="minorHAnsi" w:hAnsiTheme="minorHAnsi" w:cstheme="minorHAnsi"/>
          <w:color w:val="auto"/>
          <w:sz w:val="18"/>
          <w:szCs w:val="18"/>
        </w:rPr>
        <w:t>They</w:t>
      </w:r>
      <w:r w:rsidRPr="00182F79">
        <w:rPr>
          <w:rFonts w:asciiTheme="minorHAnsi" w:hAnsiTheme="minorHAnsi" w:cstheme="minorHAnsi"/>
          <w:color w:val="auto"/>
          <w:sz w:val="18"/>
          <w:szCs w:val="18"/>
        </w:rPr>
        <w:t xml:space="preserve"> provid</w:t>
      </w:r>
      <w:r w:rsidR="001114F9">
        <w:rPr>
          <w:rFonts w:asciiTheme="minorHAnsi" w:hAnsiTheme="minorHAnsi" w:cstheme="minorHAnsi"/>
          <w:color w:val="auto"/>
          <w:sz w:val="18"/>
          <w:szCs w:val="18"/>
        </w:rPr>
        <w:t>e</w:t>
      </w:r>
      <w:r w:rsidR="00D978DB">
        <w:rPr>
          <w:rFonts w:asciiTheme="minorHAnsi" w:hAnsiTheme="minorHAnsi" w:cstheme="minorHAnsi"/>
          <w:color w:val="auto"/>
          <w:sz w:val="18"/>
          <w:szCs w:val="18"/>
        </w:rPr>
        <w:t>d</w:t>
      </w:r>
      <w:r w:rsidRPr="00182F79">
        <w:rPr>
          <w:rFonts w:asciiTheme="minorHAnsi" w:hAnsiTheme="minorHAnsi" w:cstheme="minorHAnsi"/>
          <w:color w:val="auto"/>
          <w:sz w:val="18"/>
          <w:szCs w:val="18"/>
        </w:rPr>
        <w:t xml:space="preserve"> a useful source of benchmarking data against which </w:t>
      </w:r>
      <w:r w:rsidR="00D27313">
        <w:rPr>
          <w:rFonts w:asciiTheme="minorHAnsi" w:hAnsiTheme="minorHAnsi" w:cstheme="minorHAnsi"/>
          <w:color w:val="auto"/>
          <w:sz w:val="18"/>
          <w:szCs w:val="18"/>
        </w:rPr>
        <w:t xml:space="preserve">2022 </w:t>
      </w:r>
      <w:r w:rsidRPr="00182F79">
        <w:rPr>
          <w:rFonts w:asciiTheme="minorHAnsi" w:hAnsiTheme="minorHAnsi" w:cstheme="minorHAnsi"/>
          <w:color w:val="auto"/>
          <w:sz w:val="18"/>
          <w:szCs w:val="18"/>
        </w:rPr>
        <w:t>FCoC toolkit submissions c</w:t>
      </w:r>
      <w:r w:rsidR="00D27313">
        <w:rPr>
          <w:rFonts w:asciiTheme="minorHAnsi" w:hAnsiTheme="minorHAnsi" w:cstheme="minorHAnsi"/>
          <w:color w:val="auto"/>
          <w:sz w:val="18"/>
          <w:szCs w:val="18"/>
        </w:rPr>
        <w:t>ould</w:t>
      </w:r>
      <w:r w:rsidRPr="00182F79">
        <w:rPr>
          <w:rFonts w:asciiTheme="minorHAnsi" w:hAnsiTheme="minorHAnsi" w:cstheme="minorHAnsi"/>
          <w:color w:val="auto"/>
          <w:sz w:val="18"/>
          <w:szCs w:val="18"/>
        </w:rPr>
        <w:t xml:space="preserve"> be compared</w:t>
      </w:r>
      <w:r w:rsidR="00D27313">
        <w:rPr>
          <w:rFonts w:asciiTheme="minorHAnsi" w:hAnsiTheme="minorHAnsi" w:cstheme="minorHAnsi"/>
          <w:color w:val="auto"/>
          <w:sz w:val="18"/>
          <w:szCs w:val="18"/>
        </w:rPr>
        <w:t>, in particular with regard to staff hours per resident per week, which is the single most important driver of care home costs.</w:t>
      </w:r>
    </w:p>
  </w:footnote>
  <w:footnote w:id="6">
    <w:p w14:paraId="2F3A241F" w14:textId="77777777" w:rsidR="00B53ED7" w:rsidRDefault="00B53ED7" w:rsidP="00B53ED7">
      <w:pPr>
        <w:pStyle w:val="FootnoteText"/>
      </w:pPr>
      <w:r w:rsidRPr="007552FC">
        <w:rPr>
          <w:rStyle w:val="FootnoteReference"/>
          <w:color w:val="auto"/>
        </w:rPr>
        <w:footnoteRef/>
      </w:r>
      <w:r w:rsidRPr="007552FC">
        <w:rPr>
          <w:color w:val="auto"/>
        </w:rPr>
        <w:t xml:space="preserve"> </w:t>
      </w:r>
      <w:r w:rsidRPr="007552FC">
        <w:rPr>
          <w:rFonts w:asciiTheme="minorHAnsi" w:hAnsiTheme="minorHAnsi" w:cstheme="minorHAnsi"/>
          <w:color w:val="auto"/>
          <w:sz w:val="18"/>
          <w:szCs w:val="18"/>
        </w:rPr>
        <w:t>Data from the Care Providers Alliance at September 2022</w:t>
      </w:r>
    </w:p>
  </w:footnote>
  <w:footnote w:id="7">
    <w:p w14:paraId="008C254D" w14:textId="77777777" w:rsidR="00D6095A" w:rsidRPr="003434AD" w:rsidRDefault="006C3538">
      <w:pPr>
        <w:pStyle w:val="FootnoteText"/>
        <w:rPr>
          <w:color w:val="00B050"/>
        </w:rPr>
      </w:pPr>
      <w:r w:rsidRPr="00FC361D">
        <w:rPr>
          <w:rStyle w:val="FootnoteReference"/>
          <w:color w:val="auto"/>
        </w:rPr>
        <w:footnoteRef/>
      </w:r>
      <w:r w:rsidRPr="00FC361D">
        <w:rPr>
          <w:color w:val="auto"/>
        </w:rPr>
        <w:t xml:space="preserve"> </w:t>
      </w:r>
      <w:r w:rsidRPr="00554E8B">
        <w:rPr>
          <w:rFonts w:ascii="Franklin Gothic Book" w:eastAsiaTheme="minorHAnsi" w:hAnsi="Franklin Gothic Book" w:cstheme="minorBidi"/>
          <w:color w:val="auto"/>
          <w:lang w:eastAsia="en-US"/>
        </w:rPr>
        <w:t>Table 2</w:t>
      </w:r>
      <w:r w:rsidR="005405AA" w:rsidRPr="00554E8B">
        <w:rPr>
          <w:rFonts w:ascii="Franklin Gothic Book" w:eastAsiaTheme="minorHAnsi" w:hAnsi="Franklin Gothic Book" w:cstheme="minorBidi"/>
          <w:color w:val="auto"/>
          <w:lang w:eastAsia="en-US"/>
        </w:rPr>
        <w:t>2</w:t>
      </w:r>
      <w:r w:rsidRPr="00554E8B">
        <w:rPr>
          <w:rFonts w:ascii="Franklin Gothic Book" w:eastAsiaTheme="minorHAnsi" w:hAnsi="Franklin Gothic Book" w:cstheme="minorBidi"/>
          <w:color w:val="auto"/>
          <w:lang w:eastAsia="en-US"/>
        </w:rPr>
        <w:t>, https://www.ons.gov.uk/economy/inflationandpriceindices/datasets/consumerpriceinflation</w:t>
      </w:r>
    </w:p>
  </w:footnote>
  <w:footnote w:id="8">
    <w:p w14:paraId="1B7FA190" w14:textId="77777777" w:rsidR="00FF1FB0" w:rsidRPr="00790A0B" w:rsidRDefault="006C3538" w:rsidP="00790A0B">
      <w:pPr>
        <w:rPr>
          <w:color w:val="auto"/>
          <w:sz w:val="20"/>
          <w:szCs w:val="20"/>
        </w:rPr>
      </w:pPr>
      <w:r w:rsidRPr="00790A0B">
        <w:rPr>
          <w:rStyle w:val="FootnoteReference"/>
          <w:color w:val="auto"/>
          <w:sz w:val="20"/>
          <w:szCs w:val="20"/>
        </w:rPr>
        <w:footnoteRef/>
      </w:r>
      <w:r w:rsidRPr="00790A0B">
        <w:rPr>
          <w:color w:val="auto"/>
          <w:sz w:val="20"/>
          <w:szCs w:val="20"/>
        </w:rPr>
        <w:t xml:space="preserve"> Our approach to uplifting </w:t>
      </w:r>
      <w:r w:rsidR="00D61C6F" w:rsidRPr="00790A0B">
        <w:rPr>
          <w:color w:val="auto"/>
          <w:sz w:val="20"/>
          <w:szCs w:val="20"/>
        </w:rPr>
        <w:t>is broadly in line with guidance on inflationary adjustment set out in The Green Book 2022, Section 5.13, https://assets.publishing.service.gov.uk/government/uploads/system/uploads/attachment_data/file/1063330/Green_Book_2022.pdf</w:t>
      </w:r>
    </w:p>
  </w:footnote>
  <w:footnote w:id="9">
    <w:p w14:paraId="0A65D9B3" w14:textId="77777777" w:rsidR="003434AD" w:rsidRPr="00790A0B" w:rsidRDefault="006C3538" w:rsidP="00790A0B">
      <w:pPr>
        <w:rPr>
          <w:color w:val="auto"/>
          <w:sz w:val="20"/>
          <w:szCs w:val="20"/>
        </w:rPr>
      </w:pPr>
      <w:r w:rsidRPr="00790A0B">
        <w:rPr>
          <w:rStyle w:val="FootnoteReference"/>
          <w:color w:val="auto"/>
          <w:sz w:val="20"/>
          <w:szCs w:val="20"/>
        </w:rPr>
        <w:footnoteRef/>
      </w:r>
      <w:r w:rsidRPr="00790A0B">
        <w:rPr>
          <w:color w:val="auto"/>
          <w:sz w:val="20"/>
          <w:szCs w:val="20"/>
        </w:rPr>
        <w:t xml:space="preserve"> https://www.gov.uk/government/news/national-living-wage-increase-boosts-pay-of-low-paid-workers#:~:text=The%20improvement%20in%20the%20economic,2.2%20per%20cent)%20in%202021.</w:t>
      </w:r>
    </w:p>
  </w:footnote>
  <w:footnote w:id="10">
    <w:p w14:paraId="005D527A" w14:textId="77777777" w:rsidR="003434AD" w:rsidRPr="00A433B2" w:rsidRDefault="006C3538" w:rsidP="00A433B2">
      <w:pPr>
        <w:rPr>
          <w:color w:val="auto"/>
          <w:sz w:val="18"/>
          <w:szCs w:val="18"/>
        </w:rPr>
      </w:pPr>
      <w:r w:rsidRPr="00A433B2">
        <w:rPr>
          <w:rStyle w:val="FootnoteReference"/>
          <w:color w:val="auto"/>
          <w:sz w:val="18"/>
          <w:szCs w:val="18"/>
        </w:rPr>
        <w:footnoteRef/>
      </w:r>
      <w:r w:rsidRPr="00A433B2">
        <w:rPr>
          <w:color w:val="auto"/>
          <w:sz w:val="18"/>
          <w:szCs w:val="18"/>
        </w:rPr>
        <w:t xml:space="preserve"> Table</w:t>
      </w:r>
      <w:r w:rsidR="00B108B1" w:rsidRPr="00A433B2">
        <w:rPr>
          <w:color w:val="auto"/>
          <w:sz w:val="18"/>
          <w:szCs w:val="18"/>
        </w:rPr>
        <w:t>s 8 and 22</w:t>
      </w:r>
      <w:r w:rsidRPr="00A433B2">
        <w:rPr>
          <w:color w:val="auto"/>
          <w:sz w:val="18"/>
          <w:szCs w:val="18"/>
        </w:rPr>
        <w:t>, https://www.ons.gov.uk/economy/inflationandpriceindices/datasets/consumerpriceinflation</w:t>
      </w:r>
    </w:p>
  </w:footnote>
  <w:footnote w:id="11">
    <w:p w14:paraId="6B4687E9" w14:textId="6BF53373" w:rsidR="00572731" w:rsidRDefault="00572731">
      <w:pPr>
        <w:pStyle w:val="FootnoteText"/>
      </w:pPr>
      <w:r>
        <w:rPr>
          <w:rStyle w:val="FootnoteReference"/>
        </w:rPr>
        <w:footnoteRef/>
      </w:r>
      <w:r>
        <w:t xml:space="preserve"> </w:t>
      </w:r>
      <w:bookmarkStart w:id="34" w:name="_Hlk115710244"/>
      <w:r>
        <w:t>For both residential and nursing care, numbers given for standard and enhanced locations eligible to fill in the survey are equal. This is a result of this information not being made available through care cubed for in-scope locations that did not make a submission.</w:t>
      </w:r>
      <w:bookmarkEnd w:id="34"/>
    </w:p>
  </w:footnote>
  <w:footnote w:id="12">
    <w:p w14:paraId="72DD9792" w14:textId="77777777" w:rsidR="004974B5" w:rsidRPr="0042308D" w:rsidRDefault="004974B5" w:rsidP="004974B5">
      <w:pPr>
        <w:pStyle w:val="FootnoteText"/>
        <w:rPr>
          <w:rFonts w:asciiTheme="minorHAnsi" w:hAnsiTheme="minorHAnsi" w:cstheme="minorHAnsi"/>
          <w:color w:val="auto"/>
          <w:sz w:val="18"/>
          <w:szCs w:val="18"/>
        </w:rPr>
      </w:pPr>
      <w:r w:rsidRPr="0042308D">
        <w:rPr>
          <w:rStyle w:val="FootnoteReference"/>
          <w:rFonts w:asciiTheme="minorHAnsi" w:hAnsiTheme="minorHAnsi" w:cstheme="minorHAnsi"/>
          <w:color w:val="auto"/>
          <w:sz w:val="18"/>
          <w:szCs w:val="18"/>
        </w:rPr>
        <w:footnoteRef/>
      </w:r>
      <w:r w:rsidRPr="0042308D">
        <w:rPr>
          <w:rFonts w:asciiTheme="minorHAnsi" w:hAnsiTheme="minorHAnsi" w:cstheme="minorHAnsi"/>
          <w:color w:val="auto"/>
          <w:sz w:val="18"/>
          <w:szCs w:val="18"/>
        </w:rPr>
        <w:t xml:space="preserve"> We cannot, however, rule out the possibility that providers may have overstated their costs, and it was not practicable within the timescale available to carry out a range of checks applied by LaingBuisson in other cost of care exercises, including requesting evidence of staff costs from payroll records.   </w:t>
      </w:r>
    </w:p>
  </w:footnote>
  <w:footnote w:id="13">
    <w:p w14:paraId="3A0CA52A" w14:textId="77777777" w:rsidR="004974B5" w:rsidRPr="0042308D" w:rsidRDefault="004974B5" w:rsidP="004974B5">
      <w:pPr>
        <w:spacing w:after="0" w:line="240" w:lineRule="auto"/>
        <w:jc w:val="both"/>
        <w:rPr>
          <w:rFonts w:asciiTheme="minorHAnsi" w:hAnsiTheme="minorHAnsi" w:cstheme="minorHAnsi"/>
          <w:color w:val="auto"/>
          <w:sz w:val="18"/>
          <w:szCs w:val="18"/>
        </w:rPr>
      </w:pPr>
      <w:r w:rsidRPr="0042308D">
        <w:rPr>
          <w:rStyle w:val="FootnoteReference"/>
          <w:color w:val="auto"/>
        </w:rPr>
        <w:footnoteRef/>
      </w:r>
      <w:r w:rsidRPr="0042308D">
        <w:rPr>
          <w:color w:val="auto"/>
        </w:rPr>
        <w:t xml:space="preserve"> </w:t>
      </w:r>
      <w:r w:rsidRPr="0042308D">
        <w:rPr>
          <w:rFonts w:asciiTheme="minorHAnsi" w:hAnsiTheme="minorHAnsi" w:cstheme="minorHAnsi"/>
          <w:color w:val="auto"/>
          <w:sz w:val="18"/>
          <w:szCs w:val="18"/>
        </w:rPr>
        <w:t>Variability in staff input is consistent with all previous cost of care exercises carried out by LaingBuisson. It may be attributed to a number of factors including the dependency levels of residents, the capacity of staff to cater of difference levels of need and the scale and physical layout of homes. The absence of homogeneity means that cost of care exercises cannot aspire to identifying a single ‘true’ cost of care for all efficient providers, not even when segmented into the four modalities of residential / nursing / enhanced / not enhanced. In the absence of any more developed needs matrix than exists at present, cost of care exercises can only aspire to identifying a reasonable sector wide average, or median, around which the costs of individual homes inevitable vary.</w:t>
      </w:r>
    </w:p>
    <w:p w14:paraId="1229101B" w14:textId="77777777" w:rsidR="004974B5" w:rsidRDefault="004974B5" w:rsidP="004974B5">
      <w:pPr>
        <w:pStyle w:val="FootnoteText"/>
      </w:pPr>
    </w:p>
  </w:footnote>
  <w:footnote w:id="14">
    <w:p w14:paraId="0F71814B" w14:textId="77777777" w:rsidR="00FB78D3" w:rsidRPr="00FB78D3" w:rsidRDefault="006C3538">
      <w:pPr>
        <w:pStyle w:val="FootnoteText"/>
        <w:rPr>
          <w:rFonts w:asciiTheme="minorHAnsi" w:hAnsiTheme="minorHAnsi" w:cstheme="minorHAnsi"/>
          <w:sz w:val="18"/>
          <w:szCs w:val="18"/>
        </w:rPr>
      </w:pPr>
      <w:r w:rsidRPr="00FB78D3">
        <w:rPr>
          <w:rStyle w:val="FootnoteReference"/>
          <w:rFonts w:asciiTheme="minorHAnsi" w:hAnsiTheme="minorHAnsi" w:cstheme="minorHAnsi"/>
          <w:sz w:val="18"/>
          <w:szCs w:val="18"/>
        </w:rPr>
        <w:footnoteRef/>
      </w:r>
      <w:r w:rsidRPr="00FB78D3">
        <w:rPr>
          <w:rFonts w:asciiTheme="minorHAnsi" w:hAnsiTheme="minorHAnsi" w:cstheme="minorHAnsi"/>
          <w:sz w:val="18"/>
          <w:szCs w:val="18"/>
        </w:rPr>
        <w:t xml:space="preserve"> EBITDARM stands for Earnings Before Interest, Tax, Depreciation, Amortisation of goodwill, Rent on leased premises and central Management</w:t>
      </w:r>
      <w:r w:rsidR="00884291">
        <w:rPr>
          <w:rFonts w:asciiTheme="minorHAnsi" w:hAnsiTheme="minorHAnsi" w:cstheme="minorHAnsi"/>
          <w:sz w:val="18"/>
          <w:szCs w:val="18"/>
        </w:rPr>
        <w:t xml:space="preserve"> overheads</w:t>
      </w:r>
    </w:p>
  </w:footnote>
  <w:footnote w:id="15">
    <w:p w14:paraId="1079E002" w14:textId="77777777" w:rsidR="00FB78D3" w:rsidRPr="00680F59" w:rsidRDefault="006C3538" w:rsidP="00FB78D3">
      <w:pPr>
        <w:spacing w:after="0" w:line="240" w:lineRule="auto"/>
        <w:jc w:val="both"/>
        <w:rPr>
          <w:rFonts w:asciiTheme="minorHAnsi" w:hAnsiTheme="minorHAnsi" w:cstheme="minorHAnsi"/>
          <w:sz w:val="18"/>
          <w:szCs w:val="18"/>
        </w:rPr>
      </w:pPr>
      <w:r w:rsidRPr="00680F59">
        <w:rPr>
          <w:rStyle w:val="FootnoteReference"/>
          <w:rFonts w:asciiTheme="minorHAnsi" w:hAnsiTheme="minorHAnsi" w:cstheme="minorHAnsi"/>
          <w:sz w:val="18"/>
          <w:szCs w:val="18"/>
        </w:rPr>
        <w:footnoteRef/>
      </w:r>
      <w:r w:rsidRPr="00680F59">
        <w:rPr>
          <w:rFonts w:asciiTheme="minorHAnsi" w:hAnsiTheme="minorHAnsi" w:cstheme="minorHAnsi"/>
          <w:sz w:val="18"/>
          <w:szCs w:val="18"/>
        </w:rPr>
        <w:t xml:space="preserve"> In LaingBuisson’s Care Cost Benchmarks model, the</w:t>
      </w:r>
      <w:r w:rsidR="00CF7F8E">
        <w:rPr>
          <w:rFonts w:asciiTheme="minorHAnsi" w:hAnsiTheme="minorHAnsi" w:cstheme="minorHAnsi"/>
          <w:sz w:val="18"/>
          <w:szCs w:val="18"/>
        </w:rPr>
        <w:t xml:space="preserve"> whole business</w:t>
      </w:r>
      <w:r w:rsidRPr="00680F59">
        <w:rPr>
          <w:rFonts w:asciiTheme="minorHAnsi" w:hAnsiTheme="minorHAnsi" w:cstheme="minorHAnsi"/>
          <w:sz w:val="18"/>
          <w:szCs w:val="18"/>
        </w:rPr>
        <w:t xml:space="preserve"> benchmark </w:t>
      </w:r>
      <w:r w:rsidR="00CF7F8E">
        <w:rPr>
          <w:rFonts w:asciiTheme="minorHAnsi" w:hAnsiTheme="minorHAnsi" w:cstheme="minorHAnsi"/>
          <w:sz w:val="18"/>
          <w:szCs w:val="18"/>
        </w:rPr>
        <w:t xml:space="preserve">return </w:t>
      </w:r>
      <w:r w:rsidRPr="00680F59">
        <w:rPr>
          <w:rFonts w:asciiTheme="minorHAnsi" w:hAnsiTheme="minorHAnsi" w:cstheme="minorHAnsi"/>
          <w:sz w:val="18"/>
          <w:szCs w:val="18"/>
        </w:rPr>
        <w:t xml:space="preserve">can be expressed in two equivalent ways: a) 11% at the home level when measured as EBITDARM (before charging corporate overheads) and b) 9.5% at the group level when measured as EBITDAR (after charging corporate </w:t>
      </w:r>
      <w:r>
        <w:rPr>
          <w:rFonts w:asciiTheme="minorHAnsi" w:hAnsiTheme="minorHAnsi" w:cstheme="minorHAnsi"/>
          <w:sz w:val="18"/>
          <w:szCs w:val="18"/>
        </w:rPr>
        <w:t xml:space="preserve">Management </w:t>
      </w:r>
      <w:r w:rsidRPr="00680F59">
        <w:rPr>
          <w:rFonts w:asciiTheme="minorHAnsi" w:hAnsiTheme="minorHAnsi" w:cstheme="minorHAnsi"/>
          <w:sz w:val="18"/>
          <w:szCs w:val="18"/>
        </w:rPr>
        <w:t>overheads). This is a presentational change only. The two benchmarks are different ways of expressing the same thing</w:t>
      </w:r>
      <w:r w:rsidR="00372C8C">
        <w:rPr>
          <w:rFonts w:asciiTheme="minorHAnsi" w:hAnsiTheme="minorHAnsi" w:cstheme="minorHAnsi"/>
          <w:sz w:val="18"/>
          <w:szCs w:val="18"/>
        </w:rPr>
        <w:t>. The 9.5% group level</w:t>
      </w:r>
      <w:r w:rsidR="002E11B3">
        <w:rPr>
          <w:rFonts w:asciiTheme="minorHAnsi" w:hAnsiTheme="minorHAnsi" w:cstheme="minorHAnsi"/>
          <w:sz w:val="18"/>
          <w:szCs w:val="18"/>
        </w:rPr>
        <w:t xml:space="preserve"> return</w:t>
      </w:r>
      <w:r w:rsidR="00372C8C">
        <w:t xml:space="preserve"> </w:t>
      </w:r>
      <w:r w:rsidR="00372C8C" w:rsidRPr="002E11B3">
        <w:rPr>
          <w:rFonts w:asciiTheme="minorHAnsi" w:hAnsiTheme="minorHAnsi" w:cstheme="minorHAnsi"/>
          <w:sz w:val="18"/>
          <w:szCs w:val="18"/>
        </w:rPr>
        <w:t>implies typical acquisition multiples for an average freehold care home portfolio of a little over 10 times group EBITDA</w:t>
      </w:r>
      <w:r w:rsidR="002E11B3" w:rsidRPr="002E11B3">
        <w:rPr>
          <w:rFonts w:asciiTheme="minorHAnsi" w:hAnsiTheme="minorHAnsi" w:cstheme="minorHAnsi"/>
          <w:sz w:val="18"/>
          <w:szCs w:val="18"/>
        </w:rPr>
        <w:t>R</w:t>
      </w:r>
      <w:r w:rsidR="00372C8C" w:rsidRPr="002E11B3">
        <w:rPr>
          <w:rFonts w:asciiTheme="minorHAnsi" w:hAnsiTheme="minorHAnsi" w:cstheme="minorHAnsi"/>
          <w:sz w:val="18"/>
          <w:szCs w:val="18"/>
        </w:rPr>
        <w:t>, which is borne out by transaction evidence.</w:t>
      </w:r>
    </w:p>
    <w:p w14:paraId="2E936453" w14:textId="77777777" w:rsidR="00FB78D3" w:rsidRDefault="00FB78D3" w:rsidP="00FB78D3">
      <w:pPr>
        <w:pStyle w:val="FootnoteText"/>
      </w:pPr>
    </w:p>
  </w:footnote>
  <w:footnote w:id="16">
    <w:p w14:paraId="677C9573" w14:textId="77777777" w:rsidR="00C74F68" w:rsidRDefault="00655B21">
      <w:pPr>
        <w:pStyle w:val="FootnoteText"/>
      </w:pPr>
      <w:hyperlink r:id="rId2" w:history="1">
        <w:r w:rsidR="00B045E8">
          <w:rPr>
            <w:rStyle w:val="Hyperlink"/>
          </w:rPr>
          <w:t>Annex E: further detail on return on capital and return on operations - GOV.UK (www.gov.uk)</w:t>
        </w:r>
      </w:hyperlink>
    </w:p>
  </w:footnote>
  <w:footnote w:id="17">
    <w:p w14:paraId="317E39B1" w14:textId="77777777" w:rsidR="006A3A39" w:rsidRDefault="006C3538">
      <w:pPr>
        <w:pStyle w:val="FootnoteText"/>
      </w:pPr>
      <w:r>
        <w:rPr>
          <w:rStyle w:val="FootnoteReference"/>
        </w:rPr>
        <w:footnoteRef/>
      </w:r>
      <w:r>
        <w:t xml:space="preserve"> </w:t>
      </w:r>
      <w:hyperlink r:id="rId3" w:history="1">
        <w:r w:rsidRPr="00E61A5E">
          <w:rPr>
            <w:rStyle w:val="Hyperlink"/>
          </w:rPr>
          <w:t>https://www.gov.uk/government/publications/care-homes-market-study-summary-of-final-report</w:t>
        </w:r>
      </w:hyperlink>
    </w:p>
    <w:p w14:paraId="5277F7C4" w14:textId="77777777" w:rsidR="006A3A39" w:rsidRDefault="006A3A39">
      <w:pPr>
        <w:pStyle w:val="FootnoteText"/>
      </w:pPr>
    </w:p>
  </w:footnote>
  <w:footnote w:id="18">
    <w:p w14:paraId="5F690A72" w14:textId="77777777" w:rsidR="00954658" w:rsidRPr="00954658" w:rsidRDefault="006C3538">
      <w:pPr>
        <w:pStyle w:val="FootnoteText"/>
        <w:rPr>
          <w:rFonts w:asciiTheme="minorHAnsi" w:hAnsiTheme="minorHAnsi" w:cstheme="minorHAnsi"/>
          <w:sz w:val="18"/>
          <w:szCs w:val="18"/>
        </w:rPr>
      </w:pPr>
      <w:r w:rsidRPr="00954658">
        <w:rPr>
          <w:rStyle w:val="FootnoteReference"/>
          <w:rFonts w:asciiTheme="minorHAnsi" w:hAnsiTheme="minorHAnsi" w:cstheme="minorHAnsi"/>
          <w:sz w:val="18"/>
          <w:szCs w:val="18"/>
        </w:rPr>
        <w:footnoteRef/>
      </w:r>
      <w:r w:rsidRPr="00954658">
        <w:rPr>
          <w:rFonts w:asciiTheme="minorHAnsi" w:hAnsiTheme="minorHAnsi" w:cstheme="minorHAnsi"/>
          <w:sz w:val="18"/>
          <w:szCs w:val="18"/>
        </w:rPr>
        <w:t xml:space="preserve"> There are now two London Stock Exchange quoted </w:t>
      </w:r>
      <w:r>
        <w:rPr>
          <w:rFonts w:asciiTheme="minorHAnsi" w:hAnsiTheme="minorHAnsi" w:cstheme="minorHAnsi"/>
          <w:sz w:val="18"/>
          <w:szCs w:val="18"/>
        </w:rPr>
        <w:t xml:space="preserve">property investment </w:t>
      </w:r>
      <w:r w:rsidRPr="00954658">
        <w:rPr>
          <w:rFonts w:asciiTheme="minorHAnsi" w:hAnsiTheme="minorHAnsi" w:cstheme="minorHAnsi"/>
          <w:sz w:val="18"/>
          <w:szCs w:val="18"/>
        </w:rPr>
        <w:t>compan</w:t>
      </w:r>
      <w:r>
        <w:rPr>
          <w:rFonts w:asciiTheme="minorHAnsi" w:hAnsiTheme="minorHAnsi" w:cstheme="minorHAnsi"/>
          <w:sz w:val="18"/>
          <w:szCs w:val="18"/>
        </w:rPr>
        <w:t>ies</w:t>
      </w:r>
      <w:r w:rsidR="00D4584F">
        <w:rPr>
          <w:rFonts w:asciiTheme="minorHAnsi" w:hAnsiTheme="minorHAnsi" w:cstheme="minorHAnsi"/>
          <w:sz w:val="18"/>
          <w:szCs w:val="18"/>
        </w:rPr>
        <w:t>, Target Healthcare REIT and Impact Healthcare REIT,</w:t>
      </w:r>
      <w:r>
        <w:rPr>
          <w:rFonts w:asciiTheme="minorHAnsi" w:hAnsiTheme="minorHAnsi" w:cstheme="minorHAnsi"/>
          <w:sz w:val="18"/>
          <w:szCs w:val="18"/>
        </w:rPr>
        <w:t xml:space="preserve"> specialising in financing new care home development</w:t>
      </w:r>
      <w:r w:rsidR="00D4584F">
        <w:rPr>
          <w:rFonts w:asciiTheme="minorHAnsi" w:hAnsiTheme="minorHAnsi" w:cstheme="minorHAnsi"/>
          <w:sz w:val="18"/>
          <w:szCs w:val="18"/>
        </w:rPr>
        <w:t>s</w:t>
      </w:r>
      <w:r>
        <w:rPr>
          <w:rFonts w:asciiTheme="minorHAnsi" w:hAnsiTheme="minorHAnsi" w:cstheme="minorHAnsi"/>
          <w:sz w:val="18"/>
          <w:szCs w:val="18"/>
        </w:rPr>
        <w:t xml:space="preserve"> under arrangements in which the property investor owns the freehold and, </w:t>
      </w:r>
      <w:r w:rsidR="00D4584F">
        <w:rPr>
          <w:rFonts w:asciiTheme="minorHAnsi" w:hAnsiTheme="minorHAnsi" w:cstheme="minorHAnsi"/>
          <w:sz w:val="18"/>
          <w:szCs w:val="18"/>
        </w:rPr>
        <w:t>‘</w:t>
      </w:r>
      <w:r>
        <w:rPr>
          <w:rFonts w:asciiTheme="minorHAnsi" w:hAnsiTheme="minorHAnsi" w:cstheme="minorHAnsi"/>
          <w:sz w:val="18"/>
          <w:szCs w:val="18"/>
        </w:rPr>
        <w:t>as landlord</w:t>
      </w:r>
      <w:r w:rsidR="00D4584F">
        <w:rPr>
          <w:rFonts w:asciiTheme="minorHAnsi" w:hAnsiTheme="minorHAnsi" w:cstheme="minorHAnsi"/>
          <w:sz w:val="18"/>
          <w:szCs w:val="18"/>
        </w:rPr>
        <w:t>’,</w:t>
      </w:r>
      <w:r>
        <w:rPr>
          <w:rFonts w:asciiTheme="minorHAnsi" w:hAnsiTheme="minorHAnsi" w:cstheme="minorHAnsi"/>
          <w:sz w:val="18"/>
          <w:szCs w:val="18"/>
        </w:rPr>
        <w:t xml:space="preserve"> leases the asset to a care home operator</w:t>
      </w:r>
      <w:r w:rsidR="00D4584F">
        <w:rPr>
          <w:rFonts w:asciiTheme="minorHAnsi" w:hAnsiTheme="minorHAnsi" w:cstheme="minorHAnsi"/>
          <w:sz w:val="18"/>
          <w:szCs w:val="18"/>
        </w:rPr>
        <w:t xml:space="preserve"> ‘tenant’ at an escalating rent for a typical period of 25 years. There are also several European and other overseas-based property investors which are active in the UK market,</w:t>
      </w:r>
    </w:p>
  </w:footnote>
  <w:footnote w:id="19">
    <w:p w14:paraId="5BC29500" w14:textId="77777777" w:rsidR="00994CDA" w:rsidRPr="00994CDA" w:rsidRDefault="006C3538">
      <w:pPr>
        <w:pStyle w:val="FootnoteText"/>
        <w:rPr>
          <w:rFonts w:asciiTheme="minorHAnsi" w:hAnsiTheme="minorHAnsi" w:cstheme="minorHAnsi"/>
          <w:sz w:val="18"/>
          <w:szCs w:val="18"/>
        </w:rPr>
      </w:pPr>
      <w:r w:rsidRPr="00994CDA">
        <w:rPr>
          <w:rStyle w:val="FootnoteReference"/>
          <w:rFonts w:asciiTheme="minorHAnsi" w:hAnsiTheme="minorHAnsi" w:cstheme="minorHAnsi"/>
          <w:sz w:val="18"/>
          <w:szCs w:val="18"/>
        </w:rPr>
        <w:footnoteRef/>
      </w:r>
      <w:r w:rsidRPr="00994CDA">
        <w:rPr>
          <w:rFonts w:asciiTheme="minorHAnsi" w:hAnsiTheme="minorHAnsi" w:cstheme="minorHAnsi"/>
          <w:sz w:val="18"/>
          <w:szCs w:val="18"/>
        </w:rPr>
        <w:t xml:space="preserve"> The </w:t>
      </w:r>
      <w:r w:rsidR="005A4A3F">
        <w:rPr>
          <w:rFonts w:asciiTheme="minorHAnsi" w:hAnsiTheme="minorHAnsi" w:cstheme="minorHAnsi"/>
          <w:sz w:val="18"/>
          <w:szCs w:val="18"/>
        </w:rPr>
        <w:t>DHSC guidance (Box One) notes Knight Frank’s</w:t>
      </w:r>
      <w:r w:rsidR="005A4A3F" w:rsidRPr="00DC388D">
        <w:rPr>
          <w:rFonts w:cs="Arial"/>
          <w:color w:val="0B0C0C"/>
        </w:rPr>
        <w:t xml:space="preserve"> </w:t>
      </w:r>
      <w:r w:rsidR="005A4A3F" w:rsidRPr="00154E23">
        <w:rPr>
          <w:rFonts w:asciiTheme="minorHAnsi" w:hAnsiTheme="minorHAnsi" w:cstheme="minorHAnsi"/>
          <w:color w:val="0B0C0C"/>
          <w:sz w:val="18"/>
          <w:szCs w:val="18"/>
        </w:rPr>
        <w:t>citation of a 5.5% yield for core care home stock (or 4% for prime stock and 3.5% for super prime stock).</w:t>
      </w:r>
      <w:r w:rsidR="00154E23">
        <w:rPr>
          <w:rFonts w:asciiTheme="minorHAnsi" w:hAnsiTheme="minorHAnsi" w:cstheme="minorHAnsi"/>
          <w:color w:val="0B0C0C"/>
          <w:sz w:val="18"/>
          <w:szCs w:val="18"/>
        </w:rPr>
        <w:t xml:space="preserve"> These rates, however, are only available for care home operators with a good covenant in the form of a strong balance sheet. Most care home operators are viewed as having a moderate covenant only, and would expect to pay a higher yield for 100% finance</w:t>
      </w:r>
      <w:r w:rsidR="00D1010D">
        <w:rPr>
          <w:rFonts w:asciiTheme="minorHAnsi" w:hAnsiTheme="minorHAnsi" w:cstheme="minorHAnsi"/>
          <w:color w:val="0B0C0C"/>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77C4" w14:textId="77777777" w:rsidR="0005411C" w:rsidRDefault="006C3538" w:rsidP="00A016E4">
    <w:pPr>
      <w:pStyle w:val="Header"/>
      <w:jc w:val="right"/>
    </w:pPr>
    <w:r w:rsidRPr="00A4030A">
      <w:rPr>
        <w:rFonts w:ascii="Corbel" w:hAnsi="Corbel"/>
        <w:noProof/>
        <w:color w:val="941F63"/>
        <w:spacing w:val="-40"/>
        <w:sz w:val="48"/>
        <w:szCs w:val="48"/>
        <w:lang w:val="en-US"/>
      </w:rPr>
      <w:t>LaingBuisson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B0B"/>
    <w:multiLevelType w:val="hybridMultilevel"/>
    <w:tmpl w:val="21FC1908"/>
    <w:lvl w:ilvl="0" w:tplc="1D464F52">
      <w:start w:val="2"/>
      <w:numFmt w:val="bullet"/>
      <w:lvlText w:val="-"/>
      <w:lvlJc w:val="left"/>
      <w:pPr>
        <w:ind w:left="720" w:hanging="360"/>
      </w:pPr>
      <w:rPr>
        <w:rFonts w:ascii="Calibri" w:eastAsiaTheme="minorHAnsi" w:hAnsi="Calibri" w:cs="Calibri" w:hint="default"/>
      </w:rPr>
    </w:lvl>
    <w:lvl w:ilvl="1" w:tplc="60A62B52" w:tentative="1">
      <w:start w:val="1"/>
      <w:numFmt w:val="bullet"/>
      <w:lvlText w:val="o"/>
      <w:lvlJc w:val="left"/>
      <w:pPr>
        <w:ind w:left="1440" w:hanging="360"/>
      </w:pPr>
      <w:rPr>
        <w:rFonts w:ascii="Courier New" w:hAnsi="Courier New" w:cs="Courier New" w:hint="default"/>
      </w:rPr>
    </w:lvl>
    <w:lvl w:ilvl="2" w:tplc="46A0BF08" w:tentative="1">
      <w:start w:val="1"/>
      <w:numFmt w:val="bullet"/>
      <w:lvlText w:val=""/>
      <w:lvlJc w:val="left"/>
      <w:pPr>
        <w:ind w:left="2160" w:hanging="360"/>
      </w:pPr>
      <w:rPr>
        <w:rFonts w:ascii="Wingdings" w:hAnsi="Wingdings" w:hint="default"/>
      </w:rPr>
    </w:lvl>
    <w:lvl w:ilvl="3" w:tplc="3C387A54" w:tentative="1">
      <w:start w:val="1"/>
      <w:numFmt w:val="bullet"/>
      <w:lvlText w:val=""/>
      <w:lvlJc w:val="left"/>
      <w:pPr>
        <w:ind w:left="2880" w:hanging="360"/>
      </w:pPr>
      <w:rPr>
        <w:rFonts w:ascii="Symbol" w:hAnsi="Symbol" w:hint="default"/>
      </w:rPr>
    </w:lvl>
    <w:lvl w:ilvl="4" w:tplc="8D741168" w:tentative="1">
      <w:start w:val="1"/>
      <w:numFmt w:val="bullet"/>
      <w:lvlText w:val="o"/>
      <w:lvlJc w:val="left"/>
      <w:pPr>
        <w:ind w:left="3600" w:hanging="360"/>
      </w:pPr>
      <w:rPr>
        <w:rFonts w:ascii="Courier New" w:hAnsi="Courier New" w:cs="Courier New" w:hint="default"/>
      </w:rPr>
    </w:lvl>
    <w:lvl w:ilvl="5" w:tplc="4398776C" w:tentative="1">
      <w:start w:val="1"/>
      <w:numFmt w:val="bullet"/>
      <w:lvlText w:val=""/>
      <w:lvlJc w:val="left"/>
      <w:pPr>
        <w:ind w:left="4320" w:hanging="360"/>
      </w:pPr>
      <w:rPr>
        <w:rFonts w:ascii="Wingdings" w:hAnsi="Wingdings" w:hint="default"/>
      </w:rPr>
    </w:lvl>
    <w:lvl w:ilvl="6" w:tplc="0A34B30C" w:tentative="1">
      <w:start w:val="1"/>
      <w:numFmt w:val="bullet"/>
      <w:lvlText w:val=""/>
      <w:lvlJc w:val="left"/>
      <w:pPr>
        <w:ind w:left="5040" w:hanging="360"/>
      </w:pPr>
      <w:rPr>
        <w:rFonts w:ascii="Symbol" w:hAnsi="Symbol" w:hint="default"/>
      </w:rPr>
    </w:lvl>
    <w:lvl w:ilvl="7" w:tplc="6C5A42A2" w:tentative="1">
      <w:start w:val="1"/>
      <w:numFmt w:val="bullet"/>
      <w:lvlText w:val="o"/>
      <w:lvlJc w:val="left"/>
      <w:pPr>
        <w:ind w:left="5760" w:hanging="360"/>
      </w:pPr>
      <w:rPr>
        <w:rFonts w:ascii="Courier New" w:hAnsi="Courier New" w:cs="Courier New" w:hint="default"/>
      </w:rPr>
    </w:lvl>
    <w:lvl w:ilvl="8" w:tplc="B67C2E6A" w:tentative="1">
      <w:start w:val="1"/>
      <w:numFmt w:val="bullet"/>
      <w:lvlText w:val=""/>
      <w:lvlJc w:val="left"/>
      <w:pPr>
        <w:ind w:left="6480" w:hanging="360"/>
      </w:pPr>
      <w:rPr>
        <w:rFonts w:ascii="Wingdings" w:hAnsi="Wingdings" w:hint="default"/>
      </w:rPr>
    </w:lvl>
  </w:abstractNum>
  <w:abstractNum w:abstractNumId="1" w15:restartNumberingAfterBreak="0">
    <w:nsid w:val="027D3718"/>
    <w:multiLevelType w:val="hybridMultilevel"/>
    <w:tmpl w:val="102CD160"/>
    <w:lvl w:ilvl="0" w:tplc="96FE2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DD7F29"/>
    <w:multiLevelType w:val="multilevel"/>
    <w:tmpl w:val="4DD417F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4027D5B"/>
    <w:multiLevelType w:val="hybridMultilevel"/>
    <w:tmpl w:val="F782F9C4"/>
    <w:lvl w:ilvl="0" w:tplc="D83289E8">
      <w:start w:val="1"/>
      <w:numFmt w:val="lowerLetter"/>
      <w:lvlText w:val="%1)"/>
      <w:lvlJc w:val="left"/>
      <w:pPr>
        <w:ind w:left="720" w:hanging="360"/>
      </w:pPr>
      <w:rPr>
        <w:rFonts w:hint="default"/>
      </w:rPr>
    </w:lvl>
    <w:lvl w:ilvl="1" w:tplc="0B201DD6" w:tentative="1">
      <w:start w:val="1"/>
      <w:numFmt w:val="lowerLetter"/>
      <w:lvlText w:val="%2."/>
      <w:lvlJc w:val="left"/>
      <w:pPr>
        <w:ind w:left="1440" w:hanging="360"/>
      </w:pPr>
    </w:lvl>
    <w:lvl w:ilvl="2" w:tplc="DEE81C1E" w:tentative="1">
      <w:start w:val="1"/>
      <w:numFmt w:val="lowerRoman"/>
      <w:lvlText w:val="%3."/>
      <w:lvlJc w:val="right"/>
      <w:pPr>
        <w:ind w:left="2160" w:hanging="180"/>
      </w:pPr>
    </w:lvl>
    <w:lvl w:ilvl="3" w:tplc="0A42E228" w:tentative="1">
      <w:start w:val="1"/>
      <w:numFmt w:val="decimal"/>
      <w:lvlText w:val="%4."/>
      <w:lvlJc w:val="left"/>
      <w:pPr>
        <w:ind w:left="2880" w:hanging="360"/>
      </w:pPr>
    </w:lvl>
    <w:lvl w:ilvl="4" w:tplc="D6CAB9E2" w:tentative="1">
      <w:start w:val="1"/>
      <w:numFmt w:val="lowerLetter"/>
      <w:lvlText w:val="%5."/>
      <w:lvlJc w:val="left"/>
      <w:pPr>
        <w:ind w:left="3600" w:hanging="360"/>
      </w:pPr>
    </w:lvl>
    <w:lvl w:ilvl="5" w:tplc="88C09998" w:tentative="1">
      <w:start w:val="1"/>
      <w:numFmt w:val="lowerRoman"/>
      <w:lvlText w:val="%6."/>
      <w:lvlJc w:val="right"/>
      <w:pPr>
        <w:ind w:left="4320" w:hanging="180"/>
      </w:pPr>
    </w:lvl>
    <w:lvl w:ilvl="6" w:tplc="D7F8DEDC" w:tentative="1">
      <w:start w:val="1"/>
      <w:numFmt w:val="decimal"/>
      <w:lvlText w:val="%7."/>
      <w:lvlJc w:val="left"/>
      <w:pPr>
        <w:ind w:left="5040" w:hanging="360"/>
      </w:pPr>
    </w:lvl>
    <w:lvl w:ilvl="7" w:tplc="50809484" w:tentative="1">
      <w:start w:val="1"/>
      <w:numFmt w:val="lowerLetter"/>
      <w:lvlText w:val="%8."/>
      <w:lvlJc w:val="left"/>
      <w:pPr>
        <w:ind w:left="5760" w:hanging="360"/>
      </w:pPr>
    </w:lvl>
    <w:lvl w:ilvl="8" w:tplc="F0FC9274" w:tentative="1">
      <w:start w:val="1"/>
      <w:numFmt w:val="lowerRoman"/>
      <w:lvlText w:val="%9."/>
      <w:lvlJc w:val="right"/>
      <w:pPr>
        <w:ind w:left="6480" w:hanging="180"/>
      </w:pPr>
    </w:lvl>
  </w:abstractNum>
  <w:abstractNum w:abstractNumId="4" w15:restartNumberingAfterBreak="0">
    <w:nsid w:val="05AD62FD"/>
    <w:multiLevelType w:val="hybridMultilevel"/>
    <w:tmpl w:val="ED7A04D2"/>
    <w:lvl w:ilvl="0" w:tplc="7E5AD2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FC3B7E"/>
    <w:multiLevelType w:val="hybridMultilevel"/>
    <w:tmpl w:val="92DA3C5A"/>
    <w:lvl w:ilvl="0" w:tplc="4C54AE26">
      <w:start w:val="1"/>
      <w:numFmt w:val="decimal"/>
      <w:lvlText w:val="%1."/>
      <w:lvlJc w:val="left"/>
      <w:pPr>
        <w:ind w:left="720" w:hanging="360"/>
      </w:pPr>
      <w:rPr>
        <w:rFonts w:hint="default"/>
      </w:rPr>
    </w:lvl>
    <w:lvl w:ilvl="1" w:tplc="613803F4" w:tentative="1">
      <w:start w:val="1"/>
      <w:numFmt w:val="lowerLetter"/>
      <w:lvlText w:val="%2."/>
      <w:lvlJc w:val="left"/>
      <w:pPr>
        <w:ind w:left="1440" w:hanging="360"/>
      </w:pPr>
    </w:lvl>
    <w:lvl w:ilvl="2" w:tplc="FF2E3024" w:tentative="1">
      <w:start w:val="1"/>
      <w:numFmt w:val="lowerRoman"/>
      <w:lvlText w:val="%3."/>
      <w:lvlJc w:val="right"/>
      <w:pPr>
        <w:ind w:left="2160" w:hanging="180"/>
      </w:pPr>
    </w:lvl>
    <w:lvl w:ilvl="3" w:tplc="33EA16B2" w:tentative="1">
      <w:start w:val="1"/>
      <w:numFmt w:val="decimal"/>
      <w:lvlText w:val="%4."/>
      <w:lvlJc w:val="left"/>
      <w:pPr>
        <w:ind w:left="2880" w:hanging="360"/>
      </w:pPr>
    </w:lvl>
    <w:lvl w:ilvl="4" w:tplc="11E4D3C0" w:tentative="1">
      <w:start w:val="1"/>
      <w:numFmt w:val="lowerLetter"/>
      <w:lvlText w:val="%5."/>
      <w:lvlJc w:val="left"/>
      <w:pPr>
        <w:ind w:left="3600" w:hanging="360"/>
      </w:pPr>
    </w:lvl>
    <w:lvl w:ilvl="5" w:tplc="27D8FB18" w:tentative="1">
      <w:start w:val="1"/>
      <w:numFmt w:val="lowerRoman"/>
      <w:lvlText w:val="%6."/>
      <w:lvlJc w:val="right"/>
      <w:pPr>
        <w:ind w:left="4320" w:hanging="180"/>
      </w:pPr>
    </w:lvl>
    <w:lvl w:ilvl="6" w:tplc="56788D40" w:tentative="1">
      <w:start w:val="1"/>
      <w:numFmt w:val="decimal"/>
      <w:lvlText w:val="%7."/>
      <w:lvlJc w:val="left"/>
      <w:pPr>
        <w:ind w:left="5040" w:hanging="360"/>
      </w:pPr>
    </w:lvl>
    <w:lvl w:ilvl="7" w:tplc="6C56858C" w:tentative="1">
      <w:start w:val="1"/>
      <w:numFmt w:val="lowerLetter"/>
      <w:lvlText w:val="%8."/>
      <w:lvlJc w:val="left"/>
      <w:pPr>
        <w:ind w:left="5760" w:hanging="360"/>
      </w:pPr>
    </w:lvl>
    <w:lvl w:ilvl="8" w:tplc="BC4E9E8A" w:tentative="1">
      <w:start w:val="1"/>
      <w:numFmt w:val="lowerRoman"/>
      <w:lvlText w:val="%9."/>
      <w:lvlJc w:val="right"/>
      <w:pPr>
        <w:ind w:left="6480" w:hanging="180"/>
      </w:pPr>
    </w:lvl>
  </w:abstractNum>
  <w:abstractNum w:abstractNumId="6" w15:restartNumberingAfterBreak="0">
    <w:nsid w:val="10362AE5"/>
    <w:multiLevelType w:val="hybridMultilevel"/>
    <w:tmpl w:val="9A1A7B02"/>
    <w:lvl w:ilvl="0" w:tplc="65D05E18">
      <w:start w:val="1"/>
      <w:numFmt w:val="bullet"/>
      <w:lvlText w:val=""/>
      <w:lvlJc w:val="left"/>
      <w:pPr>
        <w:ind w:left="720" w:hanging="360"/>
      </w:pPr>
      <w:rPr>
        <w:rFonts w:ascii="Symbol" w:hAnsi="Symbol" w:hint="default"/>
      </w:rPr>
    </w:lvl>
    <w:lvl w:ilvl="1" w:tplc="247ABD12" w:tentative="1">
      <w:start w:val="1"/>
      <w:numFmt w:val="bullet"/>
      <w:lvlText w:val="o"/>
      <w:lvlJc w:val="left"/>
      <w:pPr>
        <w:ind w:left="1440" w:hanging="360"/>
      </w:pPr>
      <w:rPr>
        <w:rFonts w:ascii="Courier New" w:hAnsi="Courier New" w:cs="Courier New" w:hint="default"/>
      </w:rPr>
    </w:lvl>
    <w:lvl w:ilvl="2" w:tplc="EE3AD5BC" w:tentative="1">
      <w:start w:val="1"/>
      <w:numFmt w:val="bullet"/>
      <w:lvlText w:val=""/>
      <w:lvlJc w:val="left"/>
      <w:pPr>
        <w:ind w:left="2160" w:hanging="360"/>
      </w:pPr>
      <w:rPr>
        <w:rFonts w:ascii="Wingdings" w:hAnsi="Wingdings" w:hint="default"/>
      </w:rPr>
    </w:lvl>
    <w:lvl w:ilvl="3" w:tplc="1084E67E" w:tentative="1">
      <w:start w:val="1"/>
      <w:numFmt w:val="bullet"/>
      <w:lvlText w:val=""/>
      <w:lvlJc w:val="left"/>
      <w:pPr>
        <w:ind w:left="2880" w:hanging="360"/>
      </w:pPr>
      <w:rPr>
        <w:rFonts w:ascii="Symbol" w:hAnsi="Symbol" w:hint="default"/>
      </w:rPr>
    </w:lvl>
    <w:lvl w:ilvl="4" w:tplc="06D0B776" w:tentative="1">
      <w:start w:val="1"/>
      <w:numFmt w:val="bullet"/>
      <w:lvlText w:val="o"/>
      <w:lvlJc w:val="left"/>
      <w:pPr>
        <w:ind w:left="3600" w:hanging="360"/>
      </w:pPr>
      <w:rPr>
        <w:rFonts w:ascii="Courier New" w:hAnsi="Courier New" w:cs="Courier New" w:hint="default"/>
      </w:rPr>
    </w:lvl>
    <w:lvl w:ilvl="5" w:tplc="BB82E042" w:tentative="1">
      <w:start w:val="1"/>
      <w:numFmt w:val="bullet"/>
      <w:lvlText w:val=""/>
      <w:lvlJc w:val="left"/>
      <w:pPr>
        <w:ind w:left="4320" w:hanging="360"/>
      </w:pPr>
      <w:rPr>
        <w:rFonts w:ascii="Wingdings" w:hAnsi="Wingdings" w:hint="default"/>
      </w:rPr>
    </w:lvl>
    <w:lvl w:ilvl="6" w:tplc="052018F0" w:tentative="1">
      <w:start w:val="1"/>
      <w:numFmt w:val="bullet"/>
      <w:lvlText w:val=""/>
      <w:lvlJc w:val="left"/>
      <w:pPr>
        <w:ind w:left="5040" w:hanging="360"/>
      </w:pPr>
      <w:rPr>
        <w:rFonts w:ascii="Symbol" w:hAnsi="Symbol" w:hint="default"/>
      </w:rPr>
    </w:lvl>
    <w:lvl w:ilvl="7" w:tplc="16AC45EC" w:tentative="1">
      <w:start w:val="1"/>
      <w:numFmt w:val="bullet"/>
      <w:lvlText w:val="o"/>
      <w:lvlJc w:val="left"/>
      <w:pPr>
        <w:ind w:left="5760" w:hanging="360"/>
      </w:pPr>
      <w:rPr>
        <w:rFonts w:ascii="Courier New" w:hAnsi="Courier New" w:cs="Courier New" w:hint="default"/>
      </w:rPr>
    </w:lvl>
    <w:lvl w:ilvl="8" w:tplc="D4208F2E" w:tentative="1">
      <w:start w:val="1"/>
      <w:numFmt w:val="bullet"/>
      <w:lvlText w:val=""/>
      <w:lvlJc w:val="left"/>
      <w:pPr>
        <w:ind w:left="6480" w:hanging="360"/>
      </w:pPr>
      <w:rPr>
        <w:rFonts w:ascii="Wingdings" w:hAnsi="Wingdings" w:hint="default"/>
      </w:rPr>
    </w:lvl>
  </w:abstractNum>
  <w:abstractNum w:abstractNumId="7" w15:restartNumberingAfterBreak="0">
    <w:nsid w:val="11AC3164"/>
    <w:multiLevelType w:val="multilevel"/>
    <w:tmpl w:val="16AC3842"/>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544C73"/>
    <w:multiLevelType w:val="hybridMultilevel"/>
    <w:tmpl w:val="0BB8DCF0"/>
    <w:lvl w:ilvl="0" w:tplc="51D6FCF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670B8"/>
    <w:multiLevelType w:val="hybridMultilevel"/>
    <w:tmpl w:val="97E25A10"/>
    <w:lvl w:ilvl="0" w:tplc="8EFA9530">
      <w:start w:val="1"/>
      <w:numFmt w:val="lowerLetter"/>
      <w:lvlText w:val="%1)"/>
      <w:lvlJc w:val="left"/>
      <w:pPr>
        <w:ind w:left="1080" w:hanging="360"/>
      </w:pPr>
      <w:rPr>
        <w:rFonts w:hint="default"/>
      </w:rPr>
    </w:lvl>
    <w:lvl w:ilvl="1" w:tplc="F5882300" w:tentative="1">
      <w:start w:val="1"/>
      <w:numFmt w:val="lowerLetter"/>
      <w:lvlText w:val="%2."/>
      <w:lvlJc w:val="left"/>
      <w:pPr>
        <w:ind w:left="1800" w:hanging="360"/>
      </w:pPr>
    </w:lvl>
    <w:lvl w:ilvl="2" w:tplc="1DF249A4" w:tentative="1">
      <w:start w:val="1"/>
      <w:numFmt w:val="lowerRoman"/>
      <w:lvlText w:val="%3."/>
      <w:lvlJc w:val="right"/>
      <w:pPr>
        <w:ind w:left="2520" w:hanging="180"/>
      </w:pPr>
    </w:lvl>
    <w:lvl w:ilvl="3" w:tplc="A32A1F22" w:tentative="1">
      <w:start w:val="1"/>
      <w:numFmt w:val="decimal"/>
      <w:lvlText w:val="%4."/>
      <w:lvlJc w:val="left"/>
      <w:pPr>
        <w:ind w:left="3240" w:hanging="360"/>
      </w:pPr>
    </w:lvl>
    <w:lvl w:ilvl="4" w:tplc="9C004476" w:tentative="1">
      <w:start w:val="1"/>
      <w:numFmt w:val="lowerLetter"/>
      <w:lvlText w:val="%5."/>
      <w:lvlJc w:val="left"/>
      <w:pPr>
        <w:ind w:left="3960" w:hanging="360"/>
      </w:pPr>
    </w:lvl>
    <w:lvl w:ilvl="5" w:tplc="D6D6578C" w:tentative="1">
      <w:start w:val="1"/>
      <w:numFmt w:val="lowerRoman"/>
      <w:lvlText w:val="%6."/>
      <w:lvlJc w:val="right"/>
      <w:pPr>
        <w:ind w:left="4680" w:hanging="180"/>
      </w:pPr>
    </w:lvl>
    <w:lvl w:ilvl="6" w:tplc="0E8C6FB0" w:tentative="1">
      <w:start w:val="1"/>
      <w:numFmt w:val="decimal"/>
      <w:lvlText w:val="%7."/>
      <w:lvlJc w:val="left"/>
      <w:pPr>
        <w:ind w:left="5400" w:hanging="360"/>
      </w:pPr>
    </w:lvl>
    <w:lvl w:ilvl="7" w:tplc="38B6140C" w:tentative="1">
      <w:start w:val="1"/>
      <w:numFmt w:val="lowerLetter"/>
      <w:lvlText w:val="%8."/>
      <w:lvlJc w:val="left"/>
      <w:pPr>
        <w:ind w:left="6120" w:hanging="360"/>
      </w:pPr>
    </w:lvl>
    <w:lvl w:ilvl="8" w:tplc="57DAD97E" w:tentative="1">
      <w:start w:val="1"/>
      <w:numFmt w:val="lowerRoman"/>
      <w:lvlText w:val="%9."/>
      <w:lvlJc w:val="right"/>
      <w:pPr>
        <w:ind w:left="6840" w:hanging="180"/>
      </w:pPr>
    </w:lvl>
  </w:abstractNum>
  <w:abstractNum w:abstractNumId="10" w15:restartNumberingAfterBreak="0">
    <w:nsid w:val="1F0833FB"/>
    <w:multiLevelType w:val="hybridMultilevel"/>
    <w:tmpl w:val="44E0921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0CB3592"/>
    <w:multiLevelType w:val="hybridMultilevel"/>
    <w:tmpl w:val="BE3221AC"/>
    <w:lvl w:ilvl="0" w:tplc="845662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555060"/>
    <w:multiLevelType w:val="hybridMultilevel"/>
    <w:tmpl w:val="52B43ED8"/>
    <w:lvl w:ilvl="0" w:tplc="E5466E06">
      <w:start w:val="2"/>
      <w:numFmt w:val="bullet"/>
      <w:lvlText w:val="-"/>
      <w:lvlJc w:val="left"/>
      <w:pPr>
        <w:ind w:left="720" w:hanging="360"/>
      </w:pPr>
      <w:rPr>
        <w:rFonts w:ascii="Calibri" w:eastAsiaTheme="minorHAnsi" w:hAnsi="Calibri" w:cs="Calibri" w:hint="default"/>
      </w:rPr>
    </w:lvl>
    <w:lvl w:ilvl="1" w:tplc="4E2C5BA6" w:tentative="1">
      <w:start w:val="1"/>
      <w:numFmt w:val="bullet"/>
      <w:lvlText w:val="o"/>
      <w:lvlJc w:val="left"/>
      <w:pPr>
        <w:ind w:left="1440" w:hanging="360"/>
      </w:pPr>
      <w:rPr>
        <w:rFonts w:ascii="Courier New" w:hAnsi="Courier New" w:cs="Courier New" w:hint="default"/>
      </w:rPr>
    </w:lvl>
    <w:lvl w:ilvl="2" w:tplc="55F4D712" w:tentative="1">
      <w:start w:val="1"/>
      <w:numFmt w:val="bullet"/>
      <w:lvlText w:val=""/>
      <w:lvlJc w:val="left"/>
      <w:pPr>
        <w:ind w:left="2160" w:hanging="360"/>
      </w:pPr>
      <w:rPr>
        <w:rFonts w:ascii="Wingdings" w:hAnsi="Wingdings" w:hint="default"/>
      </w:rPr>
    </w:lvl>
    <w:lvl w:ilvl="3" w:tplc="87122978" w:tentative="1">
      <w:start w:val="1"/>
      <w:numFmt w:val="bullet"/>
      <w:lvlText w:val=""/>
      <w:lvlJc w:val="left"/>
      <w:pPr>
        <w:ind w:left="2880" w:hanging="360"/>
      </w:pPr>
      <w:rPr>
        <w:rFonts w:ascii="Symbol" w:hAnsi="Symbol" w:hint="default"/>
      </w:rPr>
    </w:lvl>
    <w:lvl w:ilvl="4" w:tplc="2892E092" w:tentative="1">
      <w:start w:val="1"/>
      <w:numFmt w:val="bullet"/>
      <w:lvlText w:val="o"/>
      <w:lvlJc w:val="left"/>
      <w:pPr>
        <w:ind w:left="3600" w:hanging="360"/>
      </w:pPr>
      <w:rPr>
        <w:rFonts w:ascii="Courier New" w:hAnsi="Courier New" w:cs="Courier New" w:hint="default"/>
      </w:rPr>
    </w:lvl>
    <w:lvl w:ilvl="5" w:tplc="E580027E" w:tentative="1">
      <w:start w:val="1"/>
      <w:numFmt w:val="bullet"/>
      <w:lvlText w:val=""/>
      <w:lvlJc w:val="left"/>
      <w:pPr>
        <w:ind w:left="4320" w:hanging="360"/>
      </w:pPr>
      <w:rPr>
        <w:rFonts w:ascii="Wingdings" w:hAnsi="Wingdings" w:hint="default"/>
      </w:rPr>
    </w:lvl>
    <w:lvl w:ilvl="6" w:tplc="1550E176" w:tentative="1">
      <w:start w:val="1"/>
      <w:numFmt w:val="bullet"/>
      <w:lvlText w:val=""/>
      <w:lvlJc w:val="left"/>
      <w:pPr>
        <w:ind w:left="5040" w:hanging="360"/>
      </w:pPr>
      <w:rPr>
        <w:rFonts w:ascii="Symbol" w:hAnsi="Symbol" w:hint="default"/>
      </w:rPr>
    </w:lvl>
    <w:lvl w:ilvl="7" w:tplc="F0603274" w:tentative="1">
      <w:start w:val="1"/>
      <w:numFmt w:val="bullet"/>
      <w:lvlText w:val="o"/>
      <w:lvlJc w:val="left"/>
      <w:pPr>
        <w:ind w:left="5760" w:hanging="360"/>
      </w:pPr>
      <w:rPr>
        <w:rFonts w:ascii="Courier New" w:hAnsi="Courier New" w:cs="Courier New" w:hint="default"/>
      </w:rPr>
    </w:lvl>
    <w:lvl w:ilvl="8" w:tplc="F9028ED4" w:tentative="1">
      <w:start w:val="1"/>
      <w:numFmt w:val="bullet"/>
      <w:lvlText w:val=""/>
      <w:lvlJc w:val="left"/>
      <w:pPr>
        <w:ind w:left="6480" w:hanging="360"/>
      </w:pPr>
      <w:rPr>
        <w:rFonts w:ascii="Wingdings" w:hAnsi="Wingdings" w:hint="default"/>
      </w:rPr>
    </w:lvl>
  </w:abstractNum>
  <w:abstractNum w:abstractNumId="13" w15:restartNumberingAfterBreak="0">
    <w:nsid w:val="26FB2A09"/>
    <w:multiLevelType w:val="hybridMultilevel"/>
    <w:tmpl w:val="329C0D1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E2CBF"/>
    <w:multiLevelType w:val="hybridMultilevel"/>
    <w:tmpl w:val="0E1E0722"/>
    <w:lvl w:ilvl="0" w:tplc="F7DE9A38">
      <w:start w:val="1"/>
      <w:numFmt w:val="decimal"/>
      <w:lvlText w:val="%1."/>
      <w:lvlJc w:val="left"/>
      <w:pPr>
        <w:ind w:left="720" w:hanging="360"/>
      </w:pPr>
      <w:rPr>
        <w:rFonts w:hint="default"/>
      </w:rPr>
    </w:lvl>
    <w:lvl w:ilvl="1" w:tplc="E034CEA0" w:tentative="1">
      <w:start w:val="1"/>
      <w:numFmt w:val="lowerLetter"/>
      <w:lvlText w:val="%2."/>
      <w:lvlJc w:val="left"/>
      <w:pPr>
        <w:ind w:left="1440" w:hanging="360"/>
      </w:pPr>
    </w:lvl>
    <w:lvl w:ilvl="2" w:tplc="662E5D90" w:tentative="1">
      <w:start w:val="1"/>
      <w:numFmt w:val="lowerRoman"/>
      <w:lvlText w:val="%3."/>
      <w:lvlJc w:val="right"/>
      <w:pPr>
        <w:ind w:left="2160" w:hanging="180"/>
      </w:pPr>
    </w:lvl>
    <w:lvl w:ilvl="3" w:tplc="CD14FCA2" w:tentative="1">
      <w:start w:val="1"/>
      <w:numFmt w:val="decimal"/>
      <w:lvlText w:val="%4."/>
      <w:lvlJc w:val="left"/>
      <w:pPr>
        <w:ind w:left="2880" w:hanging="360"/>
      </w:pPr>
    </w:lvl>
    <w:lvl w:ilvl="4" w:tplc="58066F6A" w:tentative="1">
      <w:start w:val="1"/>
      <w:numFmt w:val="lowerLetter"/>
      <w:lvlText w:val="%5."/>
      <w:lvlJc w:val="left"/>
      <w:pPr>
        <w:ind w:left="3600" w:hanging="360"/>
      </w:pPr>
    </w:lvl>
    <w:lvl w:ilvl="5" w:tplc="CC9AE81E" w:tentative="1">
      <w:start w:val="1"/>
      <w:numFmt w:val="lowerRoman"/>
      <w:lvlText w:val="%6."/>
      <w:lvlJc w:val="right"/>
      <w:pPr>
        <w:ind w:left="4320" w:hanging="180"/>
      </w:pPr>
    </w:lvl>
    <w:lvl w:ilvl="6" w:tplc="4FDAB336" w:tentative="1">
      <w:start w:val="1"/>
      <w:numFmt w:val="decimal"/>
      <w:lvlText w:val="%7."/>
      <w:lvlJc w:val="left"/>
      <w:pPr>
        <w:ind w:left="5040" w:hanging="360"/>
      </w:pPr>
    </w:lvl>
    <w:lvl w:ilvl="7" w:tplc="AA064C02" w:tentative="1">
      <w:start w:val="1"/>
      <w:numFmt w:val="lowerLetter"/>
      <w:lvlText w:val="%8."/>
      <w:lvlJc w:val="left"/>
      <w:pPr>
        <w:ind w:left="5760" w:hanging="360"/>
      </w:pPr>
    </w:lvl>
    <w:lvl w:ilvl="8" w:tplc="7540B330" w:tentative="1">
      <w:start w:val="1"/>
      <w:numFmt w:val="lowerRoman"/>
      <w:lvlText w:val="%9."/>
      <w:lvlJc w:val="right"/>
      <w:pPr>
        <w:ind w:left="6480" w:hanging="180"/>
      </w:pPr>
    </w:lvl>
  </w:abstractNum>
  <w:abstractNum w:abstractNumId="15" w15:restartNumberingAfterBreak="0">
    <w:nsid w:val="2BE058BD"/>
    <w:multiLevelType w:val="hybridMultilevel"/>
    <w:tmpl w:val="ECC868C2"/>
    <w:lvl w:ilvl="0" w:tplc="56205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01745"/>
    <w:multiLevelType w:val="hybridMultilevel"/>
    <w:tmpl w:val="2D382F3A"/>
    <w:lvl w:ilvl="0" w:tplc="299A6C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3A307F"/>
    <w:multiLevelType w:val="multilevel"/>
    <w:tmpl w:val="53C8B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686F87"/>
    <w:multiLevelType w:val="hybridMultilevel"/>
    <w:tmpl w:val="14B82E2E"/>
    <w:lvl w:ilvl="0" w:tplc="19566386">
      <w:start w:val="1"/>
      <w:numFmt w:val="bullet"/>
      <w:lvlText w:val=""/>
      <w:lvlJc w:val="left"/>
      <w:pPr>
        <w:tabs>
          <w:tab w:val="num" w:pos="360"/>
        </w:tabs>
        <w:ind w:left="360" w:hanging="360"/>
      </w:pPr>
      <w:rPr>
        <w:rFonts w:ascii="Symbol" w:hAnsi="Symbol" w:hint="default"/>
      </w:rPr>
    </w:lvl>
    <w:lvl w:ilvl="1" w:tplc="7BE47F96">
      <w:start w:val="1"/>
      <w:numFmt w:val="bullet"/>
      <w:lvlText w:val="o"/>
      <w:lvlJc w:val="left"/>
      <w:pPr>
        <w:tabs>
          <w:tab w:val="num" w:pos="1080"/>
        </w:tabs>
        <w:ind w:left="1080" w:hanging="360"/>
      </w:pPr>
      <w:rPr>
        <w:rFonts w:ascii="Courier New" w:hAnsi="Courier New" w:cs="Courier New" w:hint="default"/>
      </w:rPr>
    </w:lvl>
    <w:lvl w:ilvl="2" w:tplc="0EE47EE6" w:tentative="1">
      <w:start w:val="1"/>
      <w:numFmt w:val="bullet"/>
      <w:lvlText w:val=""/>
      <w:lvlJc w:val="left"/>
      <w:pPr>
        <w:tabs>
          <w:tab w:val="num" w:pos="1800"/>
        </w:tabs>
        <w:ind w:left="1800" w:hanging="360"/>
      </w:pPr>
      <w:rPr>
        <w:rFonts w:ascii="Wingdings" w:hAnsi="Wingdings" w:hint="default"/>
      </w:rPr>
    </w:lvl>
    <w:lvl w:ilvl="3" w:tplc="9A54F66E" w:tentative="1">
      <w:start w:val="1"/>
      <w:numFmt w:val="bullet"/>
      <w:lvlText w:val=""/>
      <w:lvlJc w:val="left"/>
      <w:pPr>
        <w:tabs>
          <w:tab w:val="num" w:pos="2520"/>
        </w:tabs>
        <w:ind w:left="2520" w:hanging="360"/>
      </w:pPr>
      <w:rPr>
        <w:rFonts w:ascii="Symbol" w:hAnsi="Symbol" w:hint="default"/>
      </w:rPr>
    </w:lvl>
    <w:lvl w:ilvl="4" w:tplc="9A901B48" w:tentative="1">
      <w:start w:val="1"/>
      <w:numFmt w:val="bullet"/>
      <w:lvlText w:val="o"/>
      <w:lvlJc w:val="left"/>
      <w:pPr>
        <w:tabs>
          <w:tab w:val="num" w:pos="3240"/>
        </w:tabs>
        <w:ind w:left="3240" w:hanging="360"/>
      </w:pPr>
      <w:rPr>
        <w:rFonts w:ascii="Courier New" w:hAnsi="Courier New" w:cs="Courier New" w:hint="default"/>
      </w:rPr>
    </w:lvl>
    <w:lvl w:ilvl="5" w:tplc="14FA06A8" w:tentative="1">
      <w:start w:val="1"/>
      <w:numFmt w:val="bullet"/>
      <w:lvlText w:val=""/>
      <w:lvlJc w:val="left"/>
      <w:pPr>
        <w:tabs>
          <w:tab w:val="num" w:pos="3960"/>
        </w:tabs>
        <w:ind w:left="3960" w:hanging="360"/>
      </w:pPr>
      <w:rPr>
        <w:rFonts w:ascii="Wingdings" w:hAnsi="Wingdings" w:hint="default"/>
      </w:rPr>
    </w:lvl>
    <w:lvl w:ilvl="6" w:tplc="DB4A26D6" w:tentative="1">
      <w:start w:val="1"/>
      <w:numFmt w:val="bullet"/>
      <w:lvlText w:val=""/>
      <w:lvlJc w:val="left"/>
      <w:pPr>
        <w:tabs>
          <w:tab w:val="num" w:pos="4680"/>
        </w:tabs>
        <w:ind w:left="4680" w:hanging="360"/>
      </w:pPr>
      <w:rPr>
        <w:rFonts w:ascii="Symbol" w:hAnsi="Symbol" w:hint="default"/>
      </w:rPr>
    </w:lvl>
    <w:lvl w:ilvl="7" w:tplc="21DAEB72" w:tentative="1">
      <w:start w:val="1"/>
      <w:numFmt w:val="bullet"/>
      <w:lvlText w:val="o"/>
      <w:lvlJc w:val="left"/>
      <w:pPr>
        <w:tabs>
          <w:tab w:val="num" w:pos="5400"/>
        </w:tabs>
        <w:ind w:left="5400" w:hanging="360"/>
      </w:pPr>
      <w:rPr>
        <w:rFonts w:ascii="Courier New" w:hAnsi="Courier New" w:cs="Courier New" w:hint="default"/>
      </w:rPr>
    </w:lvl>
    <w:lvl w:ilvl="8" w:tplc="07848C8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95065A"/>
    <w:multiLevelType w:val="multilevel"/>
    <w:tmpl w:val="A65E04B4"/>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1300A4"/>
    <w:multiLevelType w:val="hybridMultilevel"/>
    <w:tmpl w:val="E006BF80"/>
    <w:lvl w:ilvl="0" w:tplc="5986F936">
      <w:start w:val="4"/>
      <w:numFmt w:val="bullet"/>
      <w:lvlText w:val="-"/>
      <w:lvlJc w:val="left"/>
      <w:pPr>
        <w:ind w:left="720" w:hanging="360"/>
      </w:pPr>
      <w:rPr>
        <w:rFonts w:ascii="Calibri" w:eastAsiaTheme="minorHAnsi" w:hAnsi="Calibri" w:cs="Calibri" w:hint="default"/>
      </w:rPr>
    </w:lvl>
    <w:lvl w:ilvl="1" w:tplc="4CF83860" w:tentative="1">
      <w:start w:val="1"/>
      <w:numFmt w:val="bullet"/>
      <w:lvlText w:val="o"/>
      <w:lvlJc w:val="left"/>
      <w:pPr>
        <w:ind w:left="1440" w:hanging="360"/>
      </w:pPr>
      <w:rPr>
        <w:rFonts w:ascii="Courier New" w:hAnsi="Courier New" w:cs="Courier New" w:hint="default"/>
      </w:rPr>
    </w:lvl>
    <w:lvl w:ilvl="2" w:tplc="1144E3EE" w:tentative="1">
      <w:start w:val="1"/>
      <w:numFmt w:val="bullet"/>
      <w:lvlText w:val=""/>
      <w:lvlJc w:val="left"/>
      <w:pPr>
        <w:ind w:left="2160" w:hanging="360"/>
      </w:pPr>
      <w:rPr>
        <w:rFonts w:ascii="Wingdings" w:hAnsi="Wingdings" w:hint="default"/>
      </w:rPr>
    </w:lvl>
    <w:lvl w:ilvl="3" w:tplc="C2B427AA" w:tentative="1">
      <w:start w:val="1"/>
      <w:numFmt w:val="bullet"/>
      <w:lvlText w:val=""/>
      <w:lvlJc w:val="left"/>
      <w:pPr>
        <w:ind w:left="2880" w:hanging="360"/>
      </w:pPr>
      <w:rPr>
        <w:rFonts w:ascii="Symbol" w:hAnsi="Symbol" w:hint="default"/>
      </w:rPr>
    </w:lvl>
    <w:lvl w:ilvl="4" w:tplc="F5B0F1F0" w:tentative="1">
      <w:start w:val="1"/>
      <w:numFmt w:val="bullet"/>
      <w:lvlText w:val="o"/>
      <w:lvlJc w:val="left"/>
      <w:pPr>
        <w:ind w:left="3600" w:hanging="360"/>
      </w:pPr>
      <w:rPr>
        <w:rFonts w:ascii="Courier New" w:hAnsi="Courier New" w:cs="Courier New" w:hint="default"/>
      </w:rPr>
    </w:lvl>
    <w:lvl w:ilvl="5" w:tplc="109A3DCC" w:tentative="1">
      <w:start w:val="1"/>
      <w:numFmt w:val="bullet"/>
      <w:lvlText w:val=""/>
      <w:lvlJc w:val="left"/>
      <w:pPr>
        <w:ind w:left="4320" w:hanging="360"/>
      </w:pPr>
      <w:rPr>
        <w:rFonts w:ascii="Wingdings" w:hAnsi="Wingdings" w:hint="default"/>
      </w:rPr>
    </w:lvl>
    <w:lvl w:ilvl="6" w:tplc="055C0A72" w:tentative="1">
      <w:start w:val="1"/>
      <w:numFmt w:val="bullet"/>
      <w:lvlText w:val=""/>
      <w:lvlJc w:val="left"/>
      <w:pPr>
        <w:ind w:left="5040" w:hanging="360"/>
      </w:pPr>
      <w:rPr>
        <w:rFonts w:ascii="Symbol" w:hAnsi="Symbol" w:hint="default"/>
      </w:rPr>
    </w:lvl>
    <w:lvl w:ilvl="7" w:tplc="07D2857A" w:tentative="1">
      <w:start w:val="1"/>
      <w:numFmt w:val="bullet"/>
      <w:lvlText w:val="o"/>
      <w:lvlJc w:val="left"/>
      <w:pPr>
        <w:ind w:left="5760" w:hanging="360"/>
      </w:pPr>
      <w:rPr>
        <w:rFonts w:ascii="Courier New" w:hAnsi="Courier New" w:cs="Courier New" w:hint="default"/>
      </w:rPr>
    </w:lvl>
    <w:lvl w:ilvl="8" w:tplc="0458FE16" w:tentative="1">
      <w:start w:val="1"/>
      <w:numFmt w:val="bullet"/>
      <w:lvlText w:val=""/>
      <w:lvlJc w:val="left"/>
      <w:pPr>
        <w:ind w:left="6480" w:hanging="360"/>
      </w:pPr>
      <w:rPr>
        <w:rFonts w:ascii="Wingdings" w:hAnsi="Wingdings" w:hint="default"/>
      </w:rPr>
    </w:lvl>
  </w:abstractNum>
  <w:abstractNum w:abstractNumId="21" w15:restartNumberingAfterBreak="0">
    <w:nsid w:val="3E0D3DB9"/>
    <w:multiLevelType w:val="hybridMultilevel"/>
    <w:tmpl w:val="601ED48C"/>
    <w:lvl w:ilvl="0" w:tplc="F7DEAF3E">
      <w:start w:val="1"/>
      <w:numFmt w:val="bullet"/>
      <w:lvlText w:val=""/>
      <w:lvlJc w:val="left"/>
      <w:pPr>
        <w:ind w:left="785"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1F553F"/>
    <w:multiLevelType w:val="hybridMultilevel"/>
    <w:tmpl w:val="6E540AFA"/>
    <w:lvl w:ilvl="0" w:tplc="B1DE2724">
      <w:start w:val="28"/>
      <w:numFmt w:val="bullet"/>
      <w:lvlText w:val="-"/>
      <w:lvlJc w:val="left"/>
      <w:pPr>
        <w:ind w:left="720" w:hanging="360"/>
      </w:pPr>
      <w:rPr>
        <w:rFonts w:ascii="Calibri" w:eastAsiaTheme="minorHAnsi" w:hAnsi="Calibri" w:cs="Calibri" w:hint="default"/>
      </w:rPr>
    </w:lvl>
    <w:lvl w:ilvl="1" w:tplc="15804C9C">
      <w:start w:val="1"/>
      <w:numFmt w:val="bullet"/>
      <w:lvlText w:val="o"/>
      <w:lvlJc w:val="left"/>
      <w:pPr>
        <w:ind w:left="1440" w:hanging="360"/>
      </w:pPr>
      <w:rPr>
        <w:rFonts w:ascii="Courier New" w:hAnsi="Courier New" w:cs="Courier New" w:hint="default"/>
      </w:rPr>
    </w:lvl>
    <w:lvl w:ilvl="2" w:tplc="87EC0864">
      <w:start w:val="1"/>
      <w:numFmt w:val="bullet"/>
      <w:lvlText w:val=""/>
      <w:lvlJc w:val="left"/>
      <w:pPr>
        <w:ind w:left="2160" w:hanging="360"/>
      </w:pPr>
      <w:rPr>
        <w:rFonts w:ascii="Wingdings" w:hAnsi="Wingdings" w:hint="default"/>
      </w:rPr>
    </w:lvl>
    <w:lvl w:ilvl="3" w:tplc="400C8332" w:tentative="1">
      <w:start w:val="1"/>
      <w:numFmt w:val="bullet"/>
      <w:lvlText w:val=""/>
      <w:lvlJc w:val="left"/>
      <w:pPr>
        <w:ind w:left="2880" w:hanging="360"/>
      </w:pPr>
      <w:rPr>
        <w:rFonts w:ascii="Symbol" w:hAnsi="Symbol" w:hint="default"/>
      </w:rPr>
    </w:lvl>
    <w:lvl w:ilvl="4" w:tplc="A0BCC310" w:tentative="1">
      <w:start w:val="1"/>
      <w:numFmt w:val="bullet"/>
      <w:lvlText w:val="o"/>
      <w:lvlJc w:val="left"/>
      <w:pPr>
        <w:ind w:left="3600" w:hanging="360"/>
      </w:pPr>
      <w:rPr>
        <w:rFonts w:ascii="Courier New" w:hAnsi="Courier New" w:cs="Courier New" w:hint="default"/>
      </w:rPr>
    </w:lvl>
    <w:lvl w:ilvl="5" w:tplc="CAB4E3EE" w:tentative="1">
      <w:start w:val="1"/>
      <w:numFmt w:val="bullet"/>
      <w:lvlText w:val=""/>
      <w:lvlJc w:val="left"/>
      <w:pPr>
        <w:ind w:left="4320" w:hanging="360"/>
      </w:pPr>
      <w:rPr>
        <w:rFonts w:ascii="Wingdings" w:hAnsi="Wingdings" w:hint="default"/>
      </w:rPr>
    </w:lvl>
    <w:lvl w:ilvl="6" w:tplc="E752B1F4" w:tentative="1">
      <w:start w:val="1"/>
      <w:numFmt w:val="bullet"/>
      <w:lvlText w:val=""/>
      <w:lvlJc w:val="left"/>
      <w:pPr>
        <w:ind w:left="5040" w:hanging="360"/>
      </w:pPr>
      <w:rPr>
        <w:rFonts w:ascii="Symbol" w:hAnsi="Symbol" w:hint="default"/>
      </w:rPr>
    </w:lvl>
    <w:lvl w:ilvl="7" w:tplc="54E8A444" w:tentative="1">
      <w:start w:val="1"/>
      <w:numFmt w:val="bullet"/>
      <w:lvlText w:val="o"/>
      <w:lvlJc w:val="left"/>
      <w:pPr>
        <w:ind w:left="5760" w:hanging="360"/>
      </w:pPr>
      <w:rPr>
        <w:rFonts w:ascii="Courier New" w:hAnsi="Courier New" w:cs="Courier New" w:hint="default"/>
      </w:rPr>
    </w:lvl>
    <w:lvl w:ilvl="8" w:tplc="33165F0C" w:tentative="1">
      <w:start w:val="1"/>
      <w:numFmt w:val="bullet"/>
      <w:lvlText w:val=""/>
      <w:lvlJc w:val="left"/>
      <w:pPr>
        <w:ind w:left="6480" w:hanging="360"/>
      </w:pPr>
      <w:rPr>
        <w:rFonts w:ascii="Wingdings" w:hAnsi="Wingdings" w:hint="default"/>
      </w:rPr>
    </w:lvl>
  </w:abstractNum>
  <w:abstractNum w:abstractNumId="23" w15:restartNumberingAfterBreak="0">
    <w:nsid w:val="3FCC2710"/>
    <w:multiLevelType w:val="hybridMultilevel"/>
    <w:tmpl w:val="3BA6CF2C"/>
    <w:lvl w:ilvl="0" w:tplc="6E74F80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E25A8B"/>
    <w:multiLevelType w:val="multilevel"/>
    <w:tmpl w:val="AD369D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C255F8"/>
    <w:multiLevelType w:val="hybridMultilevel"/>
    <w:tmpl w:val="24D66948"/>
    <w:lvl w:ilvl="0" w:tplc="858CF17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BC62EC"/>
    <w:multiLevelType w:val="multilevel"/>
    <w:tmpl w:val="C0F87BC4"/>
    <w:lvl w:ilvl="0">
      <w:start w:val="2"/>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84A76F0"/>
    <w:multiLevelType w:val="multilevel"/>
    <w:tmpl w:val="57EC6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CFA5141"/>
    <w:multiLevelType w:val="hybridMultilevel"/>
    <w:tmpl w:val="9EF6EE24"/>
    <w:lvl w:ilvl="0" w:tplc="58B2F5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AE36E7"/>
    <w:multiLevelType w:val="hybridMultilevel"/>
    <w:tmpl w:val="66AC32F6"/>
    <w:lvl w:ilvl="0" w:tplc="58BA4B7E">
      <w:start w:val="1"/>
      <w:numFmt w:val="upperLetter"/>
      <w:lvlText w:val="%1)"/>
      <w:lvlJc w:val="left"/>
      <w:pPr>
        <w:ind w:left="720" w:hanging="360"/>
      </w:pPr>
      <w:rPr>
        <w:rFonts w:ascii="Franklin Gothic Book" w:eastAsia="Times New Roman" w:hAnsi="Franklin Gothic Book"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376DED"/>
    <w:multiLevelType w:val="hybridMultilevel"/>
    <w:tmpl w:val="BAF27092"/>
    <w:lvl w:ilvl="0" w:tplc="336C401E">
      <w:start w:val="1"/>
      <w:numFmt w:val="decimal"/>
      <w:lvlText w:val="%1."/>
      <w:lvlJc w:val="left"/>
      <w:pPr>
        <w:ind w:left="720" w:hanging="360"/>
      </w:pPr>
      <w:rPr>
        <w:rFonts w:hint="default"/>
      </w:rPr>
    </w:lvl>
    <w:lvl w:ilvl="1" w:tplc="26642ADA" w:tentative="1">
      <w:start w:val="1"/>
      <w:numFmt w:val="lowerLetter"/>
      <w:lvlText w:val="%2."/>
      <w:lvlJc w:val="left"/>
      <w:pPr>
        <w:ind w:left="1440" w:hanging="360"/>
      </w:pPr>
    </w:lvl>
    <w:lvl w:ilvl="2" w:tplc="5666F19A" w:tentative="1">
      <w:start w:val="1"/>
      <w:numFmt w:val="lowerRoman"/>
      <w:lvlText w:val="%3."/>
      <w:lvlJc w:val="right"/>
      <w:pPr>
        <w:ind w:left="2160" w:hanging="180"/>
      </w:pPr>
    </w:lvl>
    <w:lvl w:ilvl="3" w:tplc="32EC0F80" w:tentative="1">
      <w:start w:val="1"/>
      <w:numFmt w:val="decimal"/>
      <w:lvlText w:val="%4."/>
      <w:lvlJc w:val="left"/>
      <w:pPr>
        <w:ind w:left="2880" w:hanging="360"/>
      </w:pPr>
    </w:lvl>
    <w:lvl w:ilvl="4" w:tplc="F03CAF0C" w:tentative="1">
      <w:start w:val="1"/>
      <w:numFmt w:val="lowerLetter"/>
      <w:lvlText w:val="%5."/>
      <w:lvlJc w:val="left"/>
      <w:pPr>
        <w:ind w:left="3600" w:hanging="360"/>
      </w:pPr>
    </w:lvl>
    <w:lvl w:ilvl="5" w:tplc="F4202320" w:tentative="1">
      <w:start w:val="1"/>
      <w:numFmt w:val="lowerRoman"/>
      <w:lvlText w:val="%6."/>
      <w:lvlJc w:val="right"/>
      <w:pPr>
        <w:ind w:left="4320" w:hanging="180"/>
      </w:pPr>
    </w:lvl>
    <w:lvl w:ilvl="6" w:tplc="FE467DB6" w:tentative="1">
      <w:start w:val="1"/>
      <w:numFmt w:val="decimal"/>
      <w:lvlText w:val="%7."/>
      <w:lvlJc w:val="left"/>
      <w:pPr>
        <w:ind w:left="5040" w:hanging="360"/>
      </w:pPr>
    </w:lvl>
    <w:lvl w:ilvl="7" w:tplc="4B2E7320" w:tentative="1">
      <w:start w:val="1"/>
      <w:numFmt w:val="lowerLetter"/>
      <w:lvlText w:val="%8."/>
      <w:lvlJc w:val="left"/>
      <w:pPr>
        <w:ind w:left="5760" w:hanging="360"/>
      </w:pPr>
    </w:lvl>
    <w:lvl w:ilvl="8" w:tplc="1B780C56" w:tentative="1">
      <w:start w:val="1"/>
      <w:numFmt w:val="lowerRoman"/>
      <w:lvlText w:val="%9."/>
      <w:lvlJc w:val="right"/>
      <w:pPr>
        <w:ind w:left="6480" w:hanging="180"/>
      </w:pPr>
    </w:lvl>
  </w:abstractNum>
  <w:abstractNum w:abstractNumId="31" w15:restartNumberingAfterBreak="0">
    <w:nsid w:val="51904CCE"/>
    <w:multiLevelType w:val="hybridMultilevel"/>
    <w:tmpl w:val="91947120"/>
    <w:lvl w:ilvl="0" w:tplc="C80290C2">
      <w:start w:val="1"/>
      <w:numFmt w:val="bullet"/>
      <w:lvlText w:val=""/>
      <w:lvlJc w:val="left"/>
      <w:pPr>
        <w:ind w:left="785"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A16387"/>
    <w:multiLevelType w:val="multilevel"/>
    <w:tmpl w:val="02445B96"/>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4178"/>
    <w:multiLevelType w:val="hybridMultilevel"/>
    <w:tmpl w:val="806AE67C"/>
    <w:lvl w:ilvl="0" w:tplc="846C87E6">
      <w:start w:val="1"/>
      <w:numFmt w:val="decimal"/>
      <w:lvlText w:val="%1."/>
      <w:lvlJc w:val="left"/>
      <w:pPr>
        <w:ind w:left="720" w:hanging="360"/>
      </w:pPr>
      <w:rPr>
        <w:rFonts w:hint="default"/>
      </w:rPr>
    </w:lvl>
    <w:lvl w:ilvl="1" w:tplc="E8387130" w:tentative="1">
      <w:start w:val="1"/>
      <w:numFmt w:val="lowerLetter"/>
      <w:lvlText w:val="%2."/>
      <w:lvlJc w:val="left"/>
      <w:pPr>
        <w:ind w:left="1440" w:hanging="360"/>
      </w:pPr>
    </w:lvl>
    <w:lvl w:ilvl="2" w:tplc="E1424AB0" w:tentative="1">
      <w:start w:val="1"/>
      <w:numFmt w:val="lowerRoman"/>
      <w:lvlText w:val="%3."/>
      <w:lvlJc w:val="right"/>
      <w:pPr>
        <w:ind w:left="2160" w:hanging="180"/>
      </w:pPr>
    </w:lvl>
    <w:lvl w:ilvl="3" w:tplc="A3187836" w:tentative="1">
      <w:start w:val="1"/>
      <w:numFmt w:val="decimal"/>
      <w:lvlText w:val="%4."/>
      <w:lvlJc w:val="left"/>
      <w:pPr>
        <w:ind w:left="2880" w:hanging="360"/>
      </w:pPr>
    </w:lvl>
    <w:lvl w:ilvl="4" w:tplc="3886BDC2" w:tentative="1">
      <w:start w:val="1"/>
      <w:numFmt w:val="lowerLetter"/>
      <w:lvlText w:val="%5."/>
      <w:lvlJc w:val="left"/>
      <w:pPr>
        <w:ind w:left="3600" w:hanging="360"/>
      </w:pPr>
    </w:lvl>
    <w:lvl w:ilvl="5" w:tplc="390CDF36" w:tentative="1">
      <w:start w:val="1"/>
      <w:numFmt w:val="lowerRoman"/>
      <w:lvlText w:val="%6."/>
      <w:lvlJc w:val="right"/>
      <w:pPr>
        <w:ind w:left="4320" w:hanging="180"/>
      </w:pPr>
    </w:lvl>
    <w:lvl w:ilvl="6" w:tplc="DBD40FEE" w:tentative="1">
      <w:start w:val="1"/>
      <w:numFmt w:val="decimal"/>
      <w:lvlText w:val="%7."/>
      <w:lvlJc w:val="left"/>
      <w:pPr>
        <w:ind w:left="5040" w:hanging="360"/>
      </w:pPr>
    </w:lvl>
    <w:lvl w:ilvl="7" w:tplc="8F6CB1FE" w:tentative="1">
      <w:start w:val="1"/>
      <w:numFmt w:val="lowerLetter"/>
      <w:lvlText w:val="%8."/>
      <w:lvlJc w:val="left"/>
      <w:pPr>
        <w:ind w:left="5760" w:hanging="360"/>
      </w:pPr>
    </w:lvl>
    <w:lvl w:ilvl="8" w:tplc="F4C85AE0" w:tentative="1">
      <w:start w:val="1"/>
      <w:numFmt w:val="lowerRoman"/>
      <w:lvlText w:val="%9."/>
      <w:lvlJc w:val="right"/>
      <w:pPr>
        <w:ind w:left="6480" w:hanging="180"/>
      </w:pPr>
    </w:lvl>
  </w:abstractNum>
  <w:abstractNum w:abstractNumId="34" w15:restartNumberingAfterBreak="0">
    <w:nsid w:val="582F54E9"/>
    <w:multiLevelType w:val="hybridMultilevel"/>
    <w:tmpl w:val="69E26802"/>
    <w:lvl w:ilvl="0" w:tplc="972282B8">
      <w:start w:val="1"/>
      <w:numFmt w:val="lowerLetter"/>
      <w:lvlText w:val="%1)"/>
      <w:lvlJc w:val="left"/>
      <w:pPr>
        <w:ind w:left="720" w:hanging="360"/>
      </w:pPr>
      <w:rPr>
        <w:rFonts w:hint="default"/>
      </w:rPr>
    </w:lvl>
    <w:lvl w:ilvl="1" w:tplc="2E20FE38" w:tentative="1">
      <w:start w:val="1"/>
      <w:numFmt w:val="lowerLetter"/>
      <w:lvlText w:val="%2."/>
      <w:lvlJc w:val="left"/>
      <w:pPr>
        <w:ind w:left="1440" w:hanging="360"/>
      </w:pPr>
    </w:lvl>
    <w:lvl w:ilvl="2" w:tplc="5958E074" w:tentative="1">
      <w:start w:val="1"/>
      <w:numFmt w:val="lowerRoman"/>
      <w:lvlText w:val="%3."/>
      <w:lvlJc w:val="right"/>
      <w:pPr>
        <w:ind w:left="2160" w:hanging="180"/>
      </w:pPr>
    </w:lvl>
    <w:lvl w:ilvl="3" w:tplc="87A447B4" w:tentative="1">
      <w:start w:val="1"/>
      <w:numFmt w:val="decimal"/>
      <w:lvlText w:val="%4."/>
      <w:lvlJc w:val="left"/>
      <w:pPr>
        <w:ind w:left="2880" w:hanging="360"/>
      </w:pPr>
    </w:lvl>
    <w:lvl w:ilvl="4" w:tplc="47BC574C" w:tentative="1">
      <w:start w:val="1"/>
      <w:numFmt w:val="lowerLetter"/>
      <w:lvlText w:val="%5."/>
      <w:lvlJc w:val="left"/>
      <w:pPr>
        <w:ind w:left="3600" w:hanging="360"/>
      </w:pPr>
    </w:lvl>
    <w:lvl w:ilvl="5" w:tplc="78303F5E" w:tentative="1">
      <w:start w:val="1"/>
      <w:numFmt w:val="lowerRoman"/>
      <w:lvlText w:val="%6."/>
      <w:lvlJc w:val="right"/>
      <w:pPr>
        <w:ind w:left="4320" w:hanging="180"/>
      </w:pPr>
    </w:lvl>
    <w:lvl w:ilvl="6" w:tplc="5F9C7178" w:tentative="1">
      <w:start w:val="1"/>
      <w:numFmt w:val="decimal"/>
      <w:lvlText w:val="%7."/>
      <w:lvlJc w:val="left"/>
      <w:pPr>
        <w:ind w:left="5040" w:hanging="360"/>
      </w:pPr>
    </w:lvl>
    <w:lvl w:ilvl="7" w:tplc="A6929D0A" w:tentative="1">
      <w:start w:val="1"/>
      <w:numFmt w:val="lowerLetter"/>
      <w:lvlText w:val="%8."/>
      <w:lvlJc w:val="left"/>
      <w:pPr>
        <w:ind w:left="5760" w:hanging="360"/>
      </w:pPr>
    </w:lvl>
    <w:lvl w:ilvl="8" w:tplc="03866710" w:tentative="1">
      <w:start w:val="1"/>
      <w:numFmt w:val="lowerRoman"/>
      <w:lvlText w:val="%9."/>
      <w:lvlJc w:val="right"/>
      <w:pPr>
        <w:ind w:left="6480" w:hanging="180"/>
      </w:pPr>
    </w:lvl>
  </w:abstractNum>
  <w:abstractNum w:abstractNumId="35" w15:restartNumberingAfterBreak="0">
    <w:nsid w:val="5CCA0573"/>
    <w:multiLevelType w:val="hybridMultilevel"/>
    <w:tmpl w:val="E30E1FE8"/>
    <w:lvl w:ilvl="0" w:tplc="8034F372">
      <w:start w:val="1"/>
      <w:numFmt w:val="bullet"/>
      <w:lvlText w:val="-"/>
      <w:lvlJc w:val="left"/>
      <w:pPr>
        <w:ind w:left="720" w:hanging="360"/>
      </w:pPr>
      <w:rPr>
        <w:rFonts w:ascii="Franklin Gothic Book" w:eastAsiaTheme="minorHAnsi" w:hAnsi="Franklin Gothic Book" w:cstheme="minorBidi" w:hint="default"/>
      </w:rPr>
    </w:lvl>
    <w:lvl w:ilvl="1" w:tplc="E82C613A">
      <w:start w:val="1"/>
      <w:numFmt w:val="bullet"/>
      <w:lvlText w:val="o"/>
      <w:lvlJc w:val="left"/>
      <w:pPr>
        <w:ind w:left="1440" w:hanging="360"/>
      </w:pPr>
      <w:rPr>
        <w:rFonts w:ascii="Courier New" w:hAnsi="Courier New" w:cs="Courier New" w:hint="default"/>
      </w:rPr>
    </w:lvl>
    <w:lvl w:ilvl="2" w:tplc="8C82F830" w:tentative="1">
      <w:start w:val="1"/>
      <w:numFmt w:val="bullet"/>
      <w:lvlText w:val=""/>
      <w:lvlJc w:val="left"/>
      <w:pPr>
        <w:ind w:left="2160" w:hanging="360"/>
      </w:pPr>
      <w:rPr>
        <w:rFonts w:ascii="Wingdings" w:hAnsi="Wingdings" w:hint="default"/>
      </w:rPr>
    </w:lvl>
    <w:lvl w:ilvl="3" w:tplc="08FAA6BA" w:tentative="1">
      <w:start w:val="1"/>
      <w:numFmt w:val="bullet"/>
      <w:lvlText w:val=""/>
      <w:lvlJc w:val="left"/>
      <w:pPr>
        <w:ind w:left="2880" w:hanging="360"/>
      </w:pPr>
      <w:rPr>
        <w:rFonts w:ascii="Symbol" w:hAnsi="Symbol" w:hint="default"/>
      </w:rPr>
    </w:lvl>
    <w:lvl w:ilvl="4" w:tplc="D6F8690E" w:tentative="1">
      <w:start w:val="1"/>
      <w:numFmt w:val="bullet"/>
      <w:lvlText w:val="o"/>
      <w:lvlJc w:val="left"/>
      <w:pPr>
        <w:ind w:left="3600" w:hanging="360"/>
      </w:pPr>
      <w:rPr>
        <w:rFonts w:ascii="Courier New" w:hAnsi="Courier New" w:cs="Courier New" w:hint="default"/>
      </w:rPr>
    </w:lvl>
    <w:lvl w:ilvl="5" w:tplc="B2B423E2" w:tentative="1">
      <w:start w:val="1"/>
      <w:numFmt w:val="bullet"/>
      <w:lvlText w:val=""/>
      <w:lvlJc w:val="left"/>
      <w:pPr>
        <w:ind w:left="4320" w:hanging="360"/>
      </w:pPr>
      <w:rPr>
        <w:rFonts w:ascii="Wingdings" w:hAnsi="Wingdings" w:hint="default"/>
      </w:rPr>
    </w:lvl>
    <w:lvl w:ilvl="6" w:tplc="E048D9F0" w:tentative="1">
      <w:start w:val="1"/>
      <w:numFmt w:val="bullet"/>
      <w:lvlText w:val=""/>
      <w:lvlJc w:val="left"/>
      <w:pPr>
        <w:ind w:left="5040" w:hanging="360"/>
      </w:pPr>
      <w:rPr>
        <w:rFonts w:ascii="Symbol" w:hAnsi="Symbol" w:hint="default"/>
      </w:rPr>
    </w:lvl>
    <w:lvl w:ilvl="7" w:tplc="801E5DB8" w:tentative="1">
      <w:start w:val="1"/>
      <w:numFmt w:val="bullet"/>
      <w:lvlText w:val="o"/>
      <w:lvlJc w:val="left"/>
      <w:pPr>
        <w:ind w:left="5760" w:hanging="360"/>
      </w:pPr>
      <w:rPr>
        <w:rFonts w:ascii="Courier New" w:hAnsi="Courier New" w:cs="Courier New" w:hint="default"/>
      </w:rPr>
    </w:lvl>
    <w:lvl w:ilvl="8" w:tplc="D0967F32" w:tentative="1">
      <w:start w:val="1"/>
      <w:numFmt w:val="bullet"/>
      <w:lvlText w:val=""/>
      <w:lvlJc w:val="left"/>
      <w:pPr>
        <w:ind w:left="6480" w:hanging="360"/>
      </w:pPr>
      <w:rPr>
        <w:rFonts w:ascii="Wingdings" w:hAnsi="Wingdings" w:hint="default"/>
      </w:rPr>
    </w:lvl>
  </w:abstractNum>
  <w:abstractNum w:abstractNumId="36" w15:restartNumberingAfterBreak="0">
    <w:nsid w:val="5DD75068"/>
    <w:multiLevelType w:val="hybridMultilevel"/>
    <w:tmpl w:val="6C5EE8A0"/>
    <w:lvl w:ilvl="0" w:tplc="BE8EF7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9656C"/>
    <w:multiLevelType w:val="hybridMultilevel"/>
    <w:tmpl w:val="6F581F78"/>
    <w:lvl w:ilvl="0" w:tplc="066E0FA0">
      <w:start w:val="1"/>
      <w:numFmt w:val="bullet"/>
      <w:lvlText w:val=""/>
      <w:lvlJc w:val="left"/>
      <w:pPr>
        <w:ind w:left="720" w:hanging="360"/>
      </w:pPr>
      <w:rPr>
        <w:rFonts w:ascii="Symbol" w:hAnsi="Symbol" w:hint="default"/>
      </w:rPr>
    </w:lvl>
    <w:lvl w:ilvl="1" w:tplc="EB3ACD14" w:tentative="1">
      <w:start w:val="1"/>
      <w:numFmt w:val="bullet"/>
      <w:lvlText w:val="o"/>
      <w:lvlJc w:val="left"/>
      <w:pPr>
        <w:ind w:left="1440" w:hanging="360"/>
      </w:pPr>
      <w:rPr>
        <w:rFonts w:ascii="Courier New" w:hAnsi="Courier New" w:cs="Courier New" w:hint="default"/>
      </w:rPr>
    </w:lvl>
    <w:lvl w:ilvl="2" w:tplc="2C900D94" w:tentative="1">
      <w:start w:val="1"/>
      <w:numFmt w:val="bullet"/>
      <w:lvlText w:val=""/>
      <w:lvlJc w:val="left"/>
      <w:pPr>
        <w:ind w:left="2160" w:hanging="360"/>
      </w:pPr>
      <w:rPr>
        <w:rFonts w:ascii="Wingdings" w:hAnsi="Wingdings" w:hint="default"/>
      </w:rPr>
    </w:lvl>
    <w:lvl w:ilvl="3" w:tplc="6A5020E6" w:tentative="1">
      <w:start w:val="1"/>
      <w:numFmt w:val="bullet"/>
      <w:lvlText w:val=""/>
      <w:lvlJc w:val="left"/>
      <w:pPr>
        <w:ind w:left="2880" w:hanging="360"/>
      </w:pPr>
      <w:rPr>
        <w:rFonts w:ascii="Symbol" w:hAnsi="Symbol" w:hint="default"/>
      </w:rPr>
    </w:lvl>
    <w:lvl w:ilvl="4" w:tplc="58FC521E" w:tentative="1">
      <w:start w:val="1"/>
      <w:numFmt w:val="bullet"/>
      <w:lvlText w:val="o"/>
      <w:lvlJc w:val="left"/>
      <w:pPr>
        <w:ind w:left="3600" w:hanging="360"/>
      </w:pPr>
      <w:rPr>
        <w:rFonts w:ascii="Courier New" w:hAnsi="Courier New" w:cs="Courier New" w:hint="default"/>
      </w:rPr>
    </w:lvl>
    <w:lvl w:ilvl="5" w:tplc="DEDAD35A" w:tentative="1">
      <w:start w:val="1"/>
      <w:numFmt w:val="bullet"/>
      <w:lvlText w:val=""/>
      <w:lvlJc w:val="left"/>
      <w:pPr>
        <w:ind w:left="4320" w:hanging="360"/>
      </w:pPr>
      <w:rPr>
        <w:rFonts w:ascii="Wingdings" w:hAnsi="Wingdings" w:hint="default"/>
      </w:rPr>
    </w:lvl>
    <w:lvl w:ilvl="6" w:tplc="A00456A4" w:tentative="1">
      <w:start w:val="1"/>
      <w:numFmt w:val="bullet"/>
      <w:lvlText w:val=""/>
      <w:lvlJc w:val="left"/>
      <w:pPr>
        <w:ind w:left="5040" w:hanging="360"/>
      </w:pPr>
      <w:rPr>
        <w:rFonts w:ascii="Symbol" w:hAnsi="Symbol" w:hint="default"/>
      </w:rPr>
    </w:lvl>
    <w:lvl w:ilvl="7" w:tplc="58122750" w:tentative="1">
      <w:start w:val="1"/>
      <w:numFmt w:val="bullet"/>
      <w:lvlText w:val="o"/>
      <w:lvlJc w:val="left"/>
      <w:pPr>
        <w:ind w:left="5760" w:hanging="360"/>
      </w:pPr>
      <w:rPr>
        <w:rFonts w:ascii="Courier New" w:hAnsi="Courier New" w:cs="Courier New" w:hint="default"/>
      </w:rPr>
    </w:lvl>
    <w:lvl w:ilvl="8" w:tplc="73BC818A" w:tentative="1">
      <w:start w:val="1"/>
      <w:numFmt w:val="bullet"/>
      <w:lvlText w:val=""/>
      <w:lvlJc w:val="left"/>
      <w:pPr>
        <w:ind w:left="6480" w:hanging="360"/>
      </w:pPr>
      <w:rPr>
        <w:rFonts w:ascii="Wingdings" w:hAnsi="Wingdings" w:hint="default"/>
      </w:rPr>
    </w:lvl>
  </w:abstractNum>
  <w:abstractNum w:abstractNumId="38" w15:restartNumberingAfterBreak="0">
    <w:nsid w:val="635F796A"/>
    <w:multiLevelType w:val="multilevel"/>
    <w:tmpl w:val="4C2A4D64"/>
    <w:lvl w:ilvl="0">
      <w:start w:val="2"/>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871997"/>
    <w:multiLevelType w:val="multilevel"/>
    <w:tmpl w:val="D476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BB1D55"/>
    <w:multiLevelType w:val="hybridMultilevel"/>
    <w:tmpl w:val="60FE759A"/>
    <w:lvl w:ilvl="0" w:tplc="805EF738">
      <w:start w:val="1"/>
      <w:numFmt w:val="decimal"/>
      <w:lvlText w:val="%1"/>
      <w:lvlJc w:val="left"/>
      <w:pPr>
        <w:ind w:left="720" w:hanging="360"/>
      </w:pPr>
      <w:rPr>
        <w:rFonts w:hint="default"/>
      </w:rPr>
    </w:lvl>
    <w:lvl w:ilvl="1" w:tplc="A1FCE354" w:tentative="1">
      <w:start w:val="1"/>
      <w:numFmt w:val="lowerLetter"/>
      <w:lvlText w:val="%2."/>
      <w:lvlJc w:val="left"/>
      <w:pPr>
        <w:ind w:left="1440" w:hanging="360"/>
      </w:pPr>
    </w:lvl>
    <w:lvl w:ilvl="2" w:tplc="C75EFD22" w:tentative="1">
      <w:start w:val="1"/>
      <w:numFmt w:val="lowerRoman"/>
      <w:lvlText w:val="%3."/>
      <w:lvlJc w:val="right"/>
      <w:pPr>
        <w:ind w:left="2160" w:hanging="180"/>
      </w:pPr>
    </w:lvl>
    <w:lvl w:ilvl="3" w:tplc="BE94D2D2" w:tentative="1">
      <w:start w:val="1"/>
      <w:numFmt w:val="decimal"/>
      <w:lvlText w:val="%4."/>
      <w:lvlJc w:val="left"/>
      <w:pPr>
        <w:ind w:left="2880" w:hanging="360"/>
      </w:pPr>
    </w:lvl>
    <w:lvl w:ilvl="4" w:tplc="7040C20A" w:tentative="1">
      <w:start w:val="1"/>
      <w:numFmt w:val="lowerLetter"/>
      <w:lvlText w:val="%5."/>
      <w:lvlJc w:val="left"/>
      <w:pPr>
        <w:ind w:left="3600" w:hanging="360"/>
      </w:pPr>
    </w:lvl>
    <w:lvl w:ilvl="5" w:tplc="A0B24594" w:tentative="1">
      <w:start w:val="1"/>
      <w:numFmt w:val="lowerRoman"/>
      <w:lvlText w:val="%6."/>
      <w:lvlJc w:val="right"/>
      <w:pPr>
        <w:ind w:left="4320" w:hanging="180"/>
      </w:pPr>
    </w:lvl>
    <w:lvl w:ilvl="6" w:tplc="8D4E60BA" w:tentative="1">
      <w:start w:val="1"/>
      <w:numFmt w:val="decimal"/>
      <w:lvlText w:val="%7."/>
      <w:lvlJc w:val="left"/>
      <w:pPr>
        <w:ind w:left="5040" w:hanging="360"/>
      </w:pPr>
    </w:lvl>
    <w:lvl w:ilvl="7" w:tplc="5DAE2F7C" w:tentative="1">
      <w:start w:val="1"/>
      <w:numFmt w:val="lowerLetter"/>
      <w:lvlText w:val="%8."/>
      <w:lvlJc w:val="left"/>
      <w:pPr>
        <w:ind w:left="5760" w:hanging="360"/>
      </w:pPr>
    </w:lvl>
    <w:lvl w:ilvl="8" w:tplc="107830D2" w:tentative="1">
      <w:start w:val="1"/>
      <w:numFmt w:val="lowerRoman"/>
      <w:lvlText w:val="%9."/>
      <w:lvlJc w:val="right"/>
      <w:pPr>
        <w:ind w:left="6480" w:hanging="180"/>
      </w:pPr>
    </w:lvl>
  </w:abstractNum>
  <w:abstractNum w:abstractNumId="41" w15:restartNumberingAfterBreak="0">
    <w:nsid w:val="72771491"/>
    <w:multiLevelType w:val="multilevel"/>
    <w:tmpl w:val="513866BC"/>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8618E9"/>
    <w:multiLevelType w:val="hybridMultilevel"/>
    <w:tmpl w:val="ACEAFC6E"/>
    <w:lvl w:ilvl="0" w:tplc="2482DB6A">
      <w:start w:val="1"/>
      <w:numFmt w:val="bullet"/>
      <w:lvlText w:val=""/>
      <w:lvlJc w:val="left"/>
      <w:pPr>
        <w:ind w:left="720" w:hanging="360"/>
      </w:pPr>
      <w:rPr>
        <w:rFonts w:ascii="Symbol" w:hAnsi="Symbol" w:hint="default"/>
      </w:rPr>
    </w:lvl>
    <w:lvl w:ilvl="1" w:tplc="0BE25D7E" w:tentative="1">
      <w:start w:val="1"/>
      <w:numFmt w:val="bullet"/>
      <w:lvlText w:val="o"/>
      <w:lvlJc w:val="left"/>
      <w:pPr>
        <w:ind w:left="1440" w:hanging="360"/>
      </w:pPr>
      <w:rPr>
        <w:rFonts w:ascii="Courier New" w:hAnsi="Courier New" w:cs="Courier New" w:hint="default"/>
      </w:rPr>
    </w:lvl>
    <w:lvl w:ilvl="2" w:tplc="00E4A636" w:tentative="1">
      <w:start w:val="1"/>
      <w:numFmt w:val="bullet"/>
      <w:lvlText w:val=""/>
      <w:lvlJc w:val="left"/>
      <w:pPr>
        <w:ind w:left="2160" w:hanging="360"/>
      </w:pPr>
      <w:rPr>
        <w:rFonts w:ascii="Wingdings" w:hAnsi="Wingdings" w:hint="default"/>
      </w:rPr>
    </w:lvl>
    <w:lvl w:ilvl="3" w:tplc="EC4EE948" w:tentative="1">
      <w:start w:val="1"/>
      <w:numFmt w:val="bullet"/>
      <w:lvlText w:val=""/>
      <w:lvlJc w:val="left"/>
      <w:pPr>
        <w:ind w:left="2880" w:hanging="360"/>
      </w:pPr>
      <w:rPr>
        <w:rFonts w:ascii="Symbol" w:hAnsi="Symbol" w:hint="default"/>
      </w:rPr>
    </w:lvl>
    <w:lvl w:ilvl="4" w:tplc="08C610E4" w:tentative="1">
      <w:start w:val="1"/>
      <w:numFmt w:val="bullet"/>
      <w:lvlText w:val="o"/>
      <w:lvlJc w:val="left"/>
      <w:pPr>
        <w:ind w:left="3600" w:hanging="360"/>
      </w:pPr>
      <w:rPr>
        <w:rFonts w:ascii="Courier New" w:hAnsi="Courier New" w:cs="Courier New" w:hint="default"/>
      </w:rPr>
    </w:lvl>
    <w:lvl w:ilvl="5" w:tplc="473C3ED8" w:tentative="1">
      <w:start w:val="1"/>
      <w:numFmt w:val="bullet"/>
      <w:lvlText w:val=""/>
      <w:lvlJc w:val="left"/>
      <w:pPr>
        <w:ind w:left="4320" w:hanging="360"/>
      </w:pPr>
      <w:rPr>
        <w:rFonts w:ascii="Wingdings" w:hAnsi="Wingdings" w:hint="default"/>
      </w:rPr>
    </w:lvl>
    <w:lvl w:ilvl="6" w:tplc="4746AB72" w:tentative="1">
      <w:start w:val="1"/>
      <w:numFmt w:val="bullet"/>
      <w:lvlText w:val=""/>
      <w:lvlJc w:val="left"/>
      <w:pPr>
        <w:ind w:left="5040" w:hanging="360"/>
      </w:pPr>
      <w:rPr>
        <w:rFonts w:ascii="Symbol" w:hAnsi="Symbol" w:hint="default"/>
      </w:rPr>
    </w:lvl>
    <w:lvl w:ilvl="7" w:tplc="D0B6846A" w:tentative="1">
      <w:start w:val="1"/>
      <w:numFmt w:val="bullet"/>
      <w:lvlText w:val="o"/>
      <w:lvlJc w:val="left"/>
      <w:pPr>
        <w:ind w:left="5760" w:hanging="360"/>
      </w:pPr>
      <w:rPr>
        <w:rFonts w:ascii="Courier New" w:hAnsi="Courier New" w:cs="Courier New" w:hint="default"/>
      </w:rPr>
    </w:lvl>
    <w:lvl w:ilvl="8" w:tplc="4928E4CE" w:tentative="1">
      <w:start w:val="1"/>
      <w:numFmt w:val="bullet"/>
      <w:lvlText w:val=""/>
      <w:lvlJc w:val="left"/>
      <w:pPr>
        <w:ind w:left="6480" w:hanging="360"/>
      </w:pPr>
      <w:rPr>
        <w:rFonts w:ascii="Wingdings" w:hAnsi="Wingdings" w:hint="default"/>
      </w:rPr>
    </w:lvl>
  </w:abstractNum>
  <w:abstractNum w:abstractNumId="43" w15:restartNumberingAfterBreak="0">
    <w:nsid w:val="75A75303"/>
    <w:multiLevelType w:val="hybridMultilevel"/>
    <w:tmpl w:val="03761932"/>
    <w:lvl w:ilvl="0" w:tplc="F746E5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DF378B"/>
    <w:multiLevelType w:val="hybridMultilevel"/>
    <w:tmpl w:val="26BE9DA4"/>
    <w:lvl w:ilvl="0" w:tplc="1E7005B0">
      <w:start w:val="1"/>
      <w:numFmt w:val="bullet"/>
      <w:lvlText w:val=""/>
      <w:lvlJc w:val="left"/>
      <w:pPr>
        <w:ind w:left="720" w:hanging="360"/>
      </w:pPr>
      <w:rPr>
        <w:rFonts w:ascii="Symbol" w:hAnsi="Symbol" w:hint="default"/>
      </w:rPr>
    </w:lvl>
    <w:lvl w:ilvl="1" w:tplc="7E38BA96" w:tentative="1">
      <w:start w:val="1"/>
      <w:numFmt w:val="bullet"/>
      <w:lvlText w:val="o"/>
      <w:lvlJc w:val="left"/>
      <w:pPr>
        <w:ind w:left="1440" w:hanging="360"/>
      </w:pPr>
      <w:rPr>
        <w:rFonts w:ascii="Courier New" w:hAnsi="Courier New" w:cs="Courier New" w:hint="default"/>
      </w:rPr>
    </w:lvl>
    <w:lvl w:ilvl="2" w:tplc="B0727106" w:tentative="1">
      <w:start w:val="1"/>
      <w:numFmt w:val="bullet"/>
      <w:lvlText w:val=""/>
      <w:lvlJc w:val="left"/>
      <w:pPr>
        <w:ind w:left="2160" w:hanging="360"/>
      </w:pPr>
      <w:rPr>
        <w:rFonts w:ascii="Wingdings" w:hAnsi="Wingdings" w:hint="default"/>
      </w:rPr>
    </w:lvl>
    <w:lvl w:ilvl="3" w:tplc="97AC0A6C" w:tentative="1">
      <w:start w:val="1"/>
      <w:numFmt w:val="bullet"/>
      <w:lvlText w:val=""/>
      <w:lvlJc w:val="left"/>
      <w:pPr>
        <w:ind w:left="2880" w:hanging="360"/>
      </w:pPr>
      <w:rPr>
        <w:rFonts w:ascii="Symbol" w:hAnsi="Symbol" w:hint="default"/>
      </w:rPr>
    </w:lvl>
    <w:lvl w:ilvl="4" w:tplc="13424782" w:tentative="1">
      <w:start w:val="1"/>
      <w:numFmt w:val="bullet"/>
      <w:lvlText w:val="o"/>
      <w:lvlJc w:val="left"/>
      <w:pPr>
        <w:ind w:left="3600" w:hanging="360"/>
      </w:pPr>
      <w:rPr>
        <w:rFonts w:ascii="Courier New" w:hAnsi="Courier New" w:cs="Courier New" w:hint="default"/>
      </w:rPr>
    </w:lvl>
    <w:lvl w:ilvl="5" w:tplc="C21A0E06" w:tentative="1">
      <w:start w:val="1"/>
      <w:numFmt w:val="bullet"/>
      <w:lvlText w:val=""/>
      <w:lvlJc w:val="left"/>
      <w:pPr>
        <w:ind w:left="4320" w:hanging="360"/>
      </w:pPr>
      <w:rPr>
        <w:rFonts w:ascii="Wingdings" w:hAnsi="Wingdings" w:hint="default"/>
      </w:rPr>
    </w:lvl>
    <w:lvl w:ilvl="6" w:tplc="5B961E54" w:tentative="1">
      <w:start w:val="1"/>
      <w:numFmt w:val="bullet"/>
      <w:lvlText w:val=""/>
      <w:lvlJc w:val="left"/>
      <w:pPr>
        <w:ind w:left="5040" w:hanging="360"/>
      </w:pPr>
      <w:rPr>
        <w:rFonts w:ascii="Symbol" w:hAnsi="Symbol" w:hint="default"/>
      </w:rPr>
    </w:lvl>
    <w:lvl w:ilvl="7" w:tplc="D0E0C1F2" w:tentative="1">
      <w:start w:val="1"/>
      <w:numFmt w:val="bullet"/>
      <w:lvlText w:val="o"/>
      <w:lvlJc w:val="left"/>
      <w:pPr>
        <w:ind w:left="5760" w:hanging="360"/>
      </w:pPr>
      <w:rPr>
        <w:rFonts w:ascii="Courier New" w:hAnsi="Courier New" w:cs="Courier New" w:hint="default"/>
      </w:rPr>
    </w:lvl>
    <w:lvl w:ilvl="8" w:tplc="05529556" w:tentative="1">
      <w:start w:val="1"/>
      <w:numFmt w:val="bullet"/>
      <w:lvlText w:val=""/>
      <w:lvlJc w:val="left"/>
      <w:pPr>
        <w:ind w:left="6480" w:hanging="360"/>
      </w:pPr>
      <w:rPr>
        <w:rFonts w:ascii="Wingdings" w:hAnsi="Wingdings" w:hint="default"/>
      </w:rPr>
    </w:lvl>
  </w:abstractNum>
  <w:abstractNum w:abstractNumId="45" w15:restartNumberingAfterBreak="0">
    <w:nsid w:val="79480B9B"/>
    <w:multiLevelType w:val="hybridMultilevel"/>
    <w:tmpl w:val="329C0D1C"/>
    <w:lvl w:ilvl="0" w:tplc="F44CD3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67336B"/>
    <w:multiLevelType w:val="hybridMultilevel"/>
    <w:tmpl w:val="E26CCCA2"/>
    <w:lvl w:ilvl="0" w:tplc="DA801A10">
      <w:start w:val="1"/>
      <w:numFmt w:val="decimal"/>
      <w:lvlText w:val="(%1)"/>
      <w:lvlJc w:val="left"/>
      <w:pPr>
        <w:ind w:left="720" w:hanging="360"/>
      </w:pPr>
      <w:rPr>
        <w:rFonts w:hint="default"/>
      </w:rPr>
    </w:lvl>
    <w:lvl w:ilvl="1" w:tplc="26C261D6" w:tentative="1">
      <w:start w:val="1"/>
      <w:numFmt w:val="lowerLetter"/>
      <w:lvlText w:val="%2."/>
      <w:lvlJc w:val="left"/>
      <w:pPr>
        <w:ind w:left="1440" w:hanging="360"/>
      </w:pPr>
    </w:lvl>
    <w:lvl w:ilvl="2" w:tplc="D1EAB9AE" w:tentative="1">
      <w:start w:val="1"/>
      <w:numFmt w:val="lowerRoman"/>
      <w:lvlText w:val="%3."/>
      <w:lvlJc w:val="right"/>
      <w:pPr>
        <w:ind w:left="2160" w:hanging="180"/>
      </w:pPr>
    </w:lvl>
    <w:lvl w:ilvl="3" w:tplc="D7A0B59C" w:tentative="1">
      <w:start w:val="1"/>
      <w:numFmt w:val="decimal"/>
      <w:lvlText w:val="%4."/>
      <w:lvlJc w:val="left"/>
      <w:pPr>
        <w:ind w:left="2880" w:hanging="360"/>
      </w:pPr>
    </w:lvl>
    <w:lvl w:ilvl="4" w:tplc="9C249962" w:tentative="1">
      <w:start w:val="1"/>
      <w:numFmt w:val="lowerLetter"/>
      <w:lvlText w:val="%5."/>
      <w:lvlJc w:val="left"/>
      <w:pPr>
        <w:ind w:left="3600" w:hanging="360"/>
      </w:pPr>
    </w:lvl>
    <w:lvl w:ilvl="5" w:tplc="F3CC8944" w:tentative="1">
      <w:start w:val="1"/>
      <w:numFmt w:val="lowerRoman"/>
      <w:lvlText w:val="%6."/>
      <w:lvlJc w:val="right"/>
      <w:pPr>
        <w:ind w:left="4320" w:hanging="180"/>
      </w:pPr>
    </w:lvl>
    <w:lvl w:ilvl="6" w:tplc="60B8D4E0" w:tentative="1">
      <w:start w:val="1"/>
      <w:numFmt w:val="decimal"/>
      <w:lvlText w:val="%7."/>
      <w:lvlJc w:val="left"/>
      <w:pPr>
        <w:ind w:left="5040" w:hanging="360"/>
      </w:pPr>
    </w:lvl>
    <w:lvl w:ilvl="7" w:tplc="14FEC8B2" w:tentative="1">
      <w:start w:val="1"/>
      <w:numFmt w:val="lowerLetter"/>
      <w:lvlText w:val="%8."/>
      <w:lvlJc w:val="left"/>
      <w:pPr>
        <w:ind w:left="5760" w:hanging="360"/>
      </w:pPr>
    </w:lvl>
    <w:lvl w:ilvl="8" w:tplc="CB94AA48" w:tentative="1">
      <w:start w:val="1"/>
      <w:numFmt w:val="lowerRoman"/>
      <w:lvlText w:val="%9."/>
      <w:lvlJc w:val="right"/>
      <w:pPr>
        <w:ind w:left="6480" w:hanging="180"/>
      </w:pPr>
    </w:lvl>
  </w:abstractNum>
  <w:abstractNum w:abstractNumId="47" w15:restartNumberingAfterBreak="0">
    <w:nsid w:val="79AC0D5A"/>
    <w:multiLevelType w:val="hybridMultilevel"/>
    <w:tmpl w:val="66AC32F6"/>
    <w:lvl w:ilvl="0" w:tplc="FFFFFFFF">
      <w:start w:val="1"/>
      <w:numFmt w:val="upperLetter"/>
      <w:lvlText w:val="%1)"/>
      <w:lvlJc w:val="left"/>
      <w:pPr>
        <w:ind w:left="720" w:hanging="360"/>
      </w:pPr>
      <w:rPr>
        <w:rFonts w:ascii="Franklin Gothic Book" w:eastAsia="Times New Roman" w:hAnsi="Franklin Gothic Book"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376335">
    <w:abstractNumId w:val="5"/>
  </w:num>
  <w:num w:numId="2" w16cid:durableId="468203612">
    <w:abstractNumId w:val="40"/>
  </w:num>
  <w:num w:numId="3" w16cid:durableId="1126855647">
    <w:abstractNumId w:val="27"/>
  </w:num>
  <w:num w:numId="4" w16cid:durableId="159741783">
    <w:abstractNumId w:val="7"/>
  </w:num>
  <w:num w:numId="5" w16cid:durableId="1656642980">
    <w:abstractNumId w:val="20"/>
  </w:num>
  <w:num w:numId="6" w16cid:durableId="1723016166">
    <w:abstractNumId w:val="2"/>
  </w:num>
  <w:num w:numId="7" w16cid:durableId="862666855">
    <w:abstractNumId w:val="19"/>
  </w:num>
  <w:num w:numId="8" w16cid:durableId="12004523">
    <w:abstractNumId w:val="18"/>
  </w:num>
  <w:num w:numId="9" w16cid:durableId="155614096">
    <w:abstractNumId w:val="6"/>
  </w:num>
  <w:num w:numId="10" w16cid:durableId="1144350494">
    <w:abstractNumId w:val="37"/>
  </w:num>
  <w:num w:numId="11" w16cid:durableId="671102501">
    <w:abstractNumId w:val="42"/>
  </w:num>
  <w:num w:numId="12" w16cid:durableId="1777361113">
    <w:abstractNumId w:val="34"/>
  </w:num>
  <w:num w:numId="13" w16cid:durableId="1784573676">
    <w:abstractNumId w:val="12"/>
  </w:num>
  <w:num w:numId="14" w16cid:durableId="1194660382">
    <w:abstractNumId w:val="0"/>
  </w:num>
  <w:num w:numId="15" w16cid:durableId="1068772013">
    <w:abstractNumId w:val="22"/>
  </w:num>
  <w:num w:numId="16" w16cid:durableId="1770735671">
    <w:abstractNumId w:val="33"/>
  </w:num>
  <w:num w:numId="17" w16cid:durableId="737019471">
    <w:abstractNumId w:val="3"/>
  </w:num>
  <w:num w:numId="18" w16cid:durableId="1787505873">
    <w:abstractNumId w:val="9"/>
  </w:num>
  <w:num w:numId="19" w16cid:durableId="1648558723">
    <w:abstractNumId w:val="46"/>
  </w:num>
  <w:num w:numId="20" w16cid:durableId="1448550931">
    <w:abstractNumId w:val="35"/>
  </w:num>
  <w:num w:numId="21" w16cid:durableId="275017609">
    <w:abstractNumId w:val="44"/>
  </w:num>
  <w:num w:numId="22" w16cid:durableId="2033147277">
    <w:abstractNumId w:val="39"/>
  </w:num>
  <w:num w:numId="23" w16cid:durableId="1548882008">
    <w:abstractNumId w:val="17"/>
  </w:num>
  <w:num w:numId="24" w16cid:durableId="579633091">
    <w:abstractNumId w:val="32"/>
  </w:num>
  <w:num w:numId="25" w16cid:durableId="1650934710">
    <w:abstractNumId w:val="14"/>
  </w:num>
  <w:num w:numId="26" w16cid:durableId="322009943">
    <w:abstractNumId w:val="30"/>
  </w:num>
  <w:num w:numId="27" w16cid:durableId="1907379649">
    <w:abstractNumId w:val="10"/>
  </w:num>
  <w:num w:numId="28" w16cid:durableId="1302342679">
    <w:abstractNumId w:val="23"/>
  </w:num>
  <w:num w:numId="29" w16cid:durableId="991523815">
    <w:abstractNumId w:val="26"/>
  </w:num>
  <w:num w:numId="30" w16cid:durableId="1217670076">
    <w:abstractNumId w:val="41"/>
  </w:num>
  <w:num w:numId="31" w16cid:durableId="2030909309">
    <w:abstractNumId w:val="24"/>
  </w:num>
  <w:num w:numId="32" w16cid:durableId="531694997">
    <w:abstractNumId w:val="25"/>
  </w:num>
  <w:num w:numId="33" w16cid:durableId="1333754358">
    <w:abstractNumId w:val="16"/>
  </w:num>
  <w:num w:numId="34" w16cid:durableId="620694025">
    <w:abstractNumId w:val="15"/>
  </w:num>
  <w:num w:numId="35" w16cid:durableId="1858696818">
    <w:abstractNumId w:val="1"/>
  </w:num>
  <w:num w:numId="36" w16cid:durableId="1807963795">
    <w:abstractNumId w:val="43"/>
  </w:num>
  <w:num w:numId="37" w16cid:durableId="318533502">
    <w:abstractNumId w:val="45"/>
  </w:num>
  <w:num w:numId="38" w16cid:durableId="1182279360">
    <w:abstractNumId w:val="13"/>
  </w:num>
  <w:num w:numId="39" w16cid:durableId="866063960">
    <w:abstractNumId w:val="38"/>
  </w:num>
  <w:num w:numId="40" w16cid:durableId="1843934972">
    <w:abstractNumId w:val="28"/>
  </w:num>
  <w:num w:numId="41" w16cid:durableId="1652443479">
    <w:abstractNumId w:val="36"/>
  </w:num>
  <w:num w:numId="42" w16cid:durableId="1375346933">
    <w:abstractNumId w:val="29"/>
  </w:num>
  <w:num w:numId="43" w16cid:durableId="2043675511">
    <w:abstractNumId w:val="47"/>
  </w:num>
  <w:num w:numId="44" w16cid:durableId="1707095031">
    <w:abstractNumId w:val="4"/>
  </w:num>
  <w:num w:numId="45" w16cid:durableId="1832021500">
    <w:abstractNumId w:val="8"/>
  </w:num>
  <w:num w:numId="46" w16cid:durableId="590622969">
    <w:abstractNumId w:val="21"/>
  </w:num>
  <w:num w:numId="47" w16cid:durableId="2033069633">
    <w:abstractNumId w:val="31"/>
  </w:num>
  <w:num w:numId="48" w16cid:durableId="967928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EA"/>
    <w:rsid w:val="0000066D"/>
    <w:rsid w:val="00000D08"/>
    <w:rsid w:val="00001DFC"/>
    <w:rsid w:val="000047EA"/>
    <w:rsid w:val="000051E8"/>
    <w:rsid w:val="00006292"/>
    <w:rsid w:val="00010078"/>
    <w:rsid w:val="00010AFA"/>
    <w:rsid w:val="00010E5E"/>
    <w:rsid w:val="000111FF"/>
    <w:rsid w:val="00011B70"/>
    <w:rsid w:val="00012420"/>
    <w:rsid w:val="0001267B"/>
    <w:rsid w:val="000136A5"/>
    <w:rsid w:val="000139E6"/>
    <w:rsid w:val="00013A19"/>
    <w:rsid w:val="00015D17"/>
    <w:rsid w:val="00015FDC"/>
    <w:rsid w:val="00017D91"/>
    <w:rsid w:val="00024981"/>
    <w:rsid w:val="00024DE9"/>
    <w:rsid w:val="00025465"/>
    <w:rsid w:val="00027115"/>
    <w:rsid w:val="0002780B"/>
    <w:rsid w:val="00030121"/>
    <w:rsid w:val="0003196E"/>
    <w:rsid w:val="00031C95"/>
    <w:rsid w:val="00033265"/>
    <w:rsid w:val="00035B93"/>
    <w:rsid w:val="000379B2"/>
    <w:rsid w:val="00041913"/>
    <w:rsid w:val="00041E39"/>
    <w:rsid w:val="00044CD8"/>
    <w:rsid w:val="00050918"/>
    <w:rsid w:val="00050E31"/>
    <w:rsid w:val="00052385"/>
    <w:rsid w:val="0005411C"/>
    <w:rsid w:val="00054C36"/>
    <w:rsid w:val="0005627F"/>
    <w:rsid w:val="00056668"/>
    <w:rsid w:val="0005754B"/>
    <w:rsid w:val="00057CF2"/>
    <w:rsid w:val="00060320"/>
    <w:rsid w:val="00061740"/>
    <w:rsid w:val="00063160"/>
    <w:rsid w:val="00064344"/>
    <w:rsid w:val="00064A59"/>
    <w:rsid w:val="00064CB8"/>
    <w:rsid w:val="000653C6"/>
    <w:rsid w:val="000665BC"/>
    <w:rsid w:val="00067B2C"/>
    <w:rsid w:val="00070C2D"/>
    <w:rsid w:val="000715A8"/>
    <w:rsid w:val="00071F93"/>
    <w:rsid w:val="0007352F"/>
    <w:rsid w:val="000741EA"/>
    <w:rsid w:val="00074CA9"/>
    <w:rsid w:val="000757CD"/>
    <w:rsid w:val="00075A43"/>
    <w:rsid w:val="00075F34"/>
    <w:rsid w:val="000764D8"/>
    <w:rsid w:val="00076F4D"/>
    <w:rsid w:val="00077D87"/>
    <w:rsid w:val="0008042F"/>
    <w:rsid w:val="00080912"/>
    <w:rsid w:val="0008203B"/>
    <w:rsid w:val="00082C2D"/>
    <w:rsid w:val="0008397F"/>
    <w:rsid w:val="00085126"/>
    <w:rsid w:val="00085C03"/>
    <w:rsid w:val="00085FBA"/>
    <w:rsid w:val="0008634D"/>
    <w:rsid w:val="00087A94"/>
    <w:rsid w:val="00090990"/>
    <w:rsid w:val="0009354F"/>
    <w:rsid w:val="0009375A"/>
    <w:rsid w:val="00093983"/>
    <w:rsid w:val="000939C7"/>
    <w:rsid w:val="00093C6E"/>
    <w:rsid w:val="0009405C"/>
    <w:rsid w:val="000A025E"/>
    <w:rsid w:val="000A08B7"/>
    <w:rsid w:val="000A1D6B"/>
    <w:rsid w:val="000A2D3F"/>
    <w:rsid w:val="000A4A35"/>
    <w:rsid w:val="000A7A26"/>
    <w:rsid w:val="000B019E"/>
    <w:rsid w:val="000B0449"/>
    <w:rsid w:val="000B054D"/>
    <w:rsid w:val="000B221F"/>
    <w:rsid w:val="000B3BC8"/>
    <w:rsid w:val="000B3C41"/>
    <w:rsid w:val="000B47EC"/>
    <w:rsid w:val="000B4AB3"/>
    <w:rsid w:val="000B543D"/>
    <w:rsid w:val="000B564C"/>
    <w:rsid w:val="000B6789"/>
    <w:rsid w:val="000B6E38"/>
    <w:rsid w:val="000C1696"/>
    <w:rsid w:val="000C4060"/>
    <w:rsid w:val="000C4EF5"/>
    <w:rsid w:val="000C5DB8"/>
    <w:rsid w:val="000C67A5"/>
    <w:rsid w:val="000C7EA8"/>
    <w:rsid w:val="000D0D72"/>
    <w:rsid w:val="000D0E73"/>
    <w:rsid w:val="000D1C8A"/>
    <w:rsid w:val="000D2A41"/>
    <w:rsid w:val="000D2D4A"/>
    <w:rsid w:val="000D3D46"/>
    <w:rsid w:val="000D5B69"/>
    <w:rsid w:val="000D5E07"/>
    <w:rsid w:val="000D7793"/>
    <w:rsid w:val="000D7E5E"/>
    <w:rsid w:val="000E0CC3"/>
    <w:rsid w:val="000E1483"/>
    <w:rsid w:val="000E236F"/>
    <w:rsid w:val="000E2569"/>
    <w:rsid w:val="000E269B"/>
    <w:rsid w:val="000E4550"/>
    <w:rsid w:val="000E4C1B"/>
    <w:rsid w:val="000E7B07"/>
    <w:rsid w:val="000F22E9"/>
    <w:rsid w:val="000F3C8F"/>
    <w:rsid w:val="00100E54"/>
    <w:rsid w:val="001025E4"/>
    <w:rsid w:val="001035B5"/>
    <w:rsid w:val="00103810"/>
    <w:rsid w:val="001039A9"/>
    <w:rsid w:val="00104F30"/>
    <w:rsid w:val="0010586F"/>
    <w:rsid w:val="0010648A"/>
    <w:rsid w:val="00106AF4"/>
    <w:rsid w:val="00110CA1"/>
    <w:rsid w:val="001114F9"/>
    <w:rsid w:val="001136E7"/>
    <w:rsid w:val="0011449F"/>
    <w:rsid w:val="00115185"/>
    <w:rsid w:val="00117DBE"/>
    <w:rsid w:val="00117F1B"/>
    <w:rsid w:val="00120523"/>
    <w:rsid w:val="0012073D"/>
    <w:rsid w:val="0012204B"/>
    <w:rsid w:val="00123803"/>
    <w:rsid w:val="0012479E"/>
    <w:rsid w:val="00126B83"/>
    <w:rsid w:val="00130B71"/>
    <w:rsid w:val="00131631"/>
    <w:rsid w:val="00131FE0"/>
    <w:rsid w:val="00133396"/>
    <w:rsid w:val="00134134"/>
    <w:rsid w:val="00135080"/>
    <w:rsid w:val="00136806"/>
    <w:rsid w:val="001374F8"/>
    <w:rsid w:val="00137D0F"/>
    <w:rsid w:val="00137E79"/>
    <w:rsid w:val="00140B0F"/>
    <w:rsid w:val="00143829"/>
    <w:rsid w:val="00144726"/>
    <w:rsid w:val="00144BE7"/>
    <w:rsid w:val="00145A3A"/>
    <w:rsid w:val="0014625A"/>
    <w:rsid w:val="001502BE"/>
    <w:rsid w:val="001510B3"/>
    <w:rsid w:val="00151594"/>
    <w:rsid w:val="00153458"/>
    <w:rsid w:val="00154E23"/>
    <w:rsid w:val="00156171"/>
    <w:rsid w:val="00156CD8"/>
    <w:rsid w:val="00160476"/>
    <w:rsid w:val="00163A60"/>
    <w:rsid w:val="00164B4F"/>
    <w:rsid w:val="0016568F"/>
    <w:rsid w:val="001656B5"/>
    <w:rsid w:val="00167981"/>
    <w:rsid w:val="00170706"/>
    <w:rsid w:val="001718B4"/>
    <w:rsid w:val="0017289F"/>
    <w:rsid w:val="001729EB"/>
    <w:rsid w:val="00172F76"/>
    <w:rsid w:val="00173FAA"/>
    <w:rsid w:val="00182083"/>
    <w:rsid w:val="0018277D"/>
    <w:rsid w:val="00182E7E"/>
    <w:rsid w:val="00182F79"/>
    <w:rsid w:val="00182F8D"/>
    <w:rsid w:val="00183506"/>
    <w:rsid w:val="0018705F"/>
    <w:rsid w:val="00191349"/>
    <w:rsid w:val="00191454"/>
    <w:rsid w:val="00191BDA"/>
    <w:rsid w:val="001939D7"/>
    <w:rsid w:val="00193BBB"/>
    <w:rsid w:val="00193F73"/>
    <w:rsid w:val="00195752"/>
    <w:rsid w:val="001A029C"/>
    <w:rsid w:val="001A23A7"/>
    <w:rsid w:val="001A3DFC"/>
    <w:rsid w:val="001A4BA4"/>
    <w:rsid w:val="001A50DB"/>
    <w:rsid w:val="001A527F"/>
    <w:rsid w:val="001A55FF"/>
    <w:rsid w:val="001A5727"/>
    <w:rsid w:val="001A619F"/>
    <w:rsid w:val="001A64F7"/>
    <w:rsid w:val="001A6F9F"/>
    <w:rsid w:val="001A7A44"/>
    <w:rsid w:val="001B0346"/>
    <w:rsid w:val="001B1133"/>
    <w:rsid w:val="001B1177"/>
    <w:rsid w:val="001B1B83"/>
    <w:rsid w:val="001B2C2A"/>
    <w:rsid w:val="001B483E"/>
    <w:rsid w:val="001B506C"/>
    <w:rsid w:val="001B535E"/>
    <w:rsid w:val="001B54C8"/>
    <w:rsid w:val="001B5B6F"/>
    <w:rsid w:val="001B6005"/>
    <w:rsid w:val="001B667C"/>
    <w:rsid w:val="001B72B8"/>
    <w:rsid w:val="001B7C22"/>
    <w:rsid w:val="001C139B"/>
    <w:rsid w:val="001C1FF3"/>
    <w:rsid w:val="001C23EB"/>
    <w:rsid w:val="001C4570"/>
    <w:rsid w:val="001C4F37"/>
    <w:rsid w:val="001C50E2"/>
    <w:rsid w:val="001C66FF"/>
    <w:rsid w:val="001C677E"/>
    <w:rsid w:val="001C7F18"/>
    <w:rsid w:val="001D0910"/>
    <w:rsid w:val="001D16C2"/>
    <w:rsid w:val="001D2241"/>
    <w:rsid w:val="001D224A"/>
    <w:rsid w:val="001D226E"/>
    <w:rsid w:val="001D43F6"/>
    <w:rsid w:val="001D627D"/>
    <w:rsid w:val="001E0FDF"/>
    <w:rsid w:val="001E1C4E"/>
    <w:rsid w:val="001E241F"/>
    <w:rsid w:val="001E287B"/>
    <w:rsid w:val="001E309A"/>
    <w:rsid w:val="001E3F7C"/>
    <w:rsid w:val="001E4041"/>
    <w:rsid w:val="001E5DA8"/>
    <w:rsid w:val="001E66BD"/>
    <w:rsid w:val="001E6DA6"/>
    <w:rsid w:val="001E6F16"/>
    <w:rsid w:val="001E7786"/>
    <w:rsid w:val="001F1479"/>
    <w:rsid w:val="001F35E5"/>
    <w:rsid w:val="001F36EC"/>
    <w:rsid w:val="001F3EBD"/>
    <w:rsid w:val="001F409C"/>
    <w:rsid w:val="001F40C3"/>
    <w:rsid w:val="001F4836"/>
    <w:rsid w:val="001F511C"/>
    <w:rsid w:val="001F7F10"/>
    <w:rsid w:val="002003B1"/>
    <w:rsid w:val="00201DA8"/>
    <w:rsid w:val="00202E2C"/>
    <w:rsid w:val="002030BB"/>
    <w:rsid w:val="00203F36"/>
    <w:rsid w:val="0020408D"/>
    <w:rsid w:val="0020538D"/>
    <w:rsid w:val="00207721"/>
    <w:rsid w:val="00211113"/>
    <w:rsid w:val="00212676"/>
    <w:rsid w:val="002128A9"/>
    <w:rsid w:val="0021394F"/>
    <w:rsid w:val="00217DE5"/>
    <w:rsid w:val="0022059A"/>
    <w:rsid w:val="002206FF"/>
    <w:rsid w:val="00220798"/>
    <w:rsid w:val="00220B49"/>
    <w:rsid w:val="0022152C"/>
    <w:rsid w:val="00221951"/>
    <w:rsid w:val="0022216A"/>
    <w:rsid w:val="002236ED"/>
    <w:rsid w:val="002265DF"/>
    <w:rsid w:val="00227507"/>
    <w:rsid w:val="00230ABA"/>
    <w:rsid w:val="00230B18"/>
    <w:rsid w:val="00232CB7"/>
    <w:rsid w:val="00234633"/>
    <w:rsid w:val="00235934"/>
    <w:rsid w:val="00235950"/>
    <w:rsid w:val="00235C5C"/>
    <w:rsid w:val="0024075B"/>
    <w:rsid w:val="00240851"/>
    <w:rsid w:val="0024220F"/>
    <w:rsid w:val="00243F39"/>
    <w:rsid w:val="00244A0C"/>
    <w:rsid w:val="0024537A"/>
    <w:rsid w:val="00250551"/>
    <w:rsid w:val="002509B7"/>
    <w:rsid w:val="00250EDB"/>
    <w:rsid w:val="00251458"/>
    <w:rsid w:val="0025199D"/>
    <w:rsid w:val="0025221E"/>
    <w:rsid w:val="002541C9"/>
    <w:rsid w:val="00255EC7"/>
    <w:rsid w:val="00256691"/>
    <w:rsid w:val="002566E8"/>
    <w:rsid w:val="00256D35"/>
    <w:rsid w:val="00257EDE"/>
    <w:rsid w:val="00260186"/>
    <w:rsid w:val="0026123E"/>
    <w:rsid w:val="002626C2"/>
    <w:rsid w:val="00262EE8"/>
    <w:rsid w:val="00263F57"/>
    <w:rsid w:val="00266D3B"/>
    <w:rsid w:val="00271F65"/>
    <w:rsid w:val="00272151"/>
    <w:rsid w:val="0027469A"/>
    <w:rsid w:val="00276CCE"/>
    <w:rsid w:val="00277271"/>
    <w:rsid w:val="002848E0"/>
    <w:rsid w:val="00287E4E"/>
    <w:rsid w:val="002906AA"/>
    <w:rsid w:val="00293907"/>
    <w:rsid w:val="00295454"/>
    <w:rsid w:val="00296F7A"/>
    <w:rsid w:val="00297713"/>
    <w:rsid w:val="00297784"/>
    <w:rsid w:val="002A0AB3"/>
    <w:rsid w:val="002A148E"/>
    <w:rsid w:val="002A205D"/>
    <w:rsid w:val="002A2768"/>
    <w:rsid w:val="002A320B"/>
    <w:rsid w:val="002A668F"/>
    <w:rsid w:val="002A6D01"/>
    <w:rsid w:val="002B0597"/>
    <w:rsid w:val="002B09CD"/>
    <w:rsid w:val="002B0BCE"/>
    <w:rsid w:val="002B11DF"/>
    <w:rsid w:val="002B260A"/>
    <w:rsid w:val="002B353F"/>
    <w:rsid w:val="002B393D"/>
    <w:rsid w:val="002B5105"/>
    <w:rsid w:val="002B670F"/>
    <w:rsid w:val="002C218D"/>
    <w:rsid w:val="002C409F"/>
    <w:rsid w:val="002C54F4"/>
    <w:rsid w:val="002C5D7E"/>
    <w:rsid w:val="002C653A"/>
    <w:rsid w:val="002C657D"/>
    <w:rsid w:val="002C6B23"/>
    <w:rsid w:val="002C794E"/>
    <w:rsid w:val="002C7C16"/>
    <w:rsid w:val="002D05EE"/>
    <w:rsid w:val="002D0D07"/>
    <w:rsid w:val="002D1871"/>
    <w:rsid w:val="002D1ABC"/>
    <w:rsid w:val="002D1FEC"/>
    <w:rsid w:val="002D32E5"/>
    <w:rsid w:val="002D3B83"/>
    <w:rsid w:val="002D5F3F"/>
    <w:rsid w:val="002D618D"/>
    <w:rsid w:val="002E0BA6"/>
    <w:rsid w:val="002E11B3"/>
    <w:rsid w:val="002E1CE9"/>
    <w:rsid w:val="002E1E63"/>
    <w:rsid w:val="002E2627"/>
    <w:rsid w:val="002E329D"/>
    <w:rsid w:val="002E35E6"/>
    <w:rsid w:val="002E6950"/>
    <w:rsid w:val="002F2365"/>
    <w:rsid w:val="002F6462"/>
    <w:rsid w:val="002F792E"/>
    <w:rsid w:val="002F7ACA"/>
    <w:rsid w:val="002F7E4A"/>
    <w:rsid w:val="00300050"/>
    <w:rsid w:val="00300B41"/>
    <w:rsid w:val="003016C3"/>
    <w:rsid w:val="00302661"/>
    <w:rsid w:val="00302BAE"/>
    <w:rsid w:val="00305756"/>
    <w:rsid w:val="003058B3"/>
    <w:rsid w:val="0030777D"/>
    <w:rsid w:val="0031216B"/>
    <w:rsid w:val="0031225F"/>
    <w:rsid w:val="00313694"/>
    <w:rsid w:val="00314FC4"/>
    <w:rsid w:val="00316B30"/>
    <w:rsid w:val="00320853"/>
    <w:rsid w:val="00321A3D"/>
    <w:rsid w:val="00322391"/>
    <w:rsid w:val="0032291D"/>
    <w:rsid w:val="003236EE"/>
    <w:rsid w:val="00325DAB"/>
    <w:rsid w:val="003262E2"/>
    <w:rsid w:val="00326DF8"/>
    <w:rsid w:val="0032719B"/>
    <w:rsid w:val="003349CE"/>
    <w:rsid w:val="00337BFF"/>
    <w:rsid w:val="003434AD"/>
    <w:rsid w:val="00343535"/>
    <w:rsid w:val="00344803"/>
    <w:rsid w:val="00350291"/>
    <w:rsid w:val="00350CC8"/>
    <w:rsid w:val="00351592"/>
    <w:rsid w:val="003523B8"/>
    <w:rsid w:val="0035364B"/>
    <w:rsid w:val="003540D4"/>
    <w:rsid w:val="00354A0D"/>
    <w:rsid w:val="00354DDA"/>
    <w:rsid w:val="00355993"/>
    <w:rsid w:val="00355A6A"/>
    <w:rsid w:val="00355BAD"/>
    <w:rsid w:val="00355C2B"/>
    <w:rsid w:val="0036045F"/>
    <w:rsid w:val="003610AF"/>
    <w:rsid w:val="00362265"/>
    <w:rsid w:val="00362A55"/>
    <w:rsid w:val="003633D3"/>
    <w:rsid w:val="00363B57"/>
    <w:rsid w:val="0036470E"/>
    <w:rsid w:val="003647CE"/>
    <w:rsid w:val="003649EC"/>
    <w:rsid w:val="00364B00"/>
    <w:rsid w:val="00367B89"/>
    <w:rsid w:val="003705AE"/>
    <w:rsid w:val="00371264"/>
    <w:rsid w:val="003721F2"/>
    <w:rsid w:val="00372C8C"/>
    <w:rsid w:val="00372DFF"/>
    <w:rsid w:val="00374047"/>
    <w:rsid w:val="00375F64"/>
    <w:rsid w:val="0037779F"/>
    <w:rsid w:val="00381B13"/>
    <w:rsid w:val="00382ADD"/>
    <w:rsid w:val="003848E7"/>
    <w:rsid w:val="00385DB2"/>
    <w:rsid w:val="00387F3C"/>
    <w:rsid w:val="00387FE9"/>
    <w:rsid w:val="003915D6"/>
    <w:rsid w:val="00393795"/>
    <w:rsid w:val="00394A0C"/>
    <w:rsid w:val="00395557"/>
    <w:rsid w:val="003A10F2"/>
    <w:rsid w:val="003A2BA7"/>
    <w:rsid w:val="003A4141"/>
    <w:rsid w:val="003A51F0"/>
    <w:rsid w:val="003B08FE"/>
    <w:rsid w:val="003B179F"/>
    <w:rsid w:val="003B27AA"/>
    <w:rsid w:val="003B299D"/>
    <w:rsid w:val="003B4512"/>
    <w:rsid w:val="003B6F17"/>
    <w:rsid w:val="003B7F00"/>
    <w:rsid w:val="003C0561"/>
    <w:rsid w:val="003C3900"/>
    <w:rsid w:val="003C3A3B"/>
    <w:rsid w:val="003C5EF8"/>
    <w:rsid w:val="003C5F0D"/>
    <w:rsid w:val="003C74C1"/>
    <w:rsid w:val="003D0AE9"/>
    <w:rsid w:val="003D0BFF"/>
    <w:rsid w:val="003D12C9"/>
    <w:rsid w:val="003D4015"/>
    <w:rsid w:val="003D632A"/>
    <w:rsid w:val="003D6364"/>
    <w:rsid w:val="003D6FF9"/>
    <w:rsid w:val="003E12B8"/>
    <w:rsid w:val="003E2A3B"/>
    <w:rsid w:val="003E3808"/>
    <w:rsid w:val="003E3C8E"/>
    <w:rsid w:val="003E695A"/>
    <w:rsid w:val="003E6997"/>
    <w:rsid w:val="003F098B"/>
    <w:rsid w:val="003F0D5C"/>
    <w:rsid w:val="003F111B"/>
    <w:rsid w:val="003F1D49"/>
    <w:rsid w:val="003F242B"/>
    <w:rsid w:val="003F2D99"/>
    <w:rsid w:val="003F3882"/>
    <w:rsid w:val="003F43AB"/>
    <w:rsid w:val="003F4E5D"/>
    <w:rsid w:val="003F5061"/>
    <w:rsid w:val="00400AA1"/>
    <w:rsid w:val="0040103A"/>
    <w:rsid w:val="00401B78"/>
    <w:rsid w:val="00406872"/>
    <w:rsid w:val="00406E61"/>
    <w:rsid w:val="00410235"/>
    <w:rsid w:val="0041109B"/>
    <w:rsid w:val="00412000"/>
    <w:rsid w:val="0041510B"/>
    <w:rsid w:val="004161BD"/>
    <w:rsid w:val="004161E9"/>
    <w:rsid w:val="00417061"/>
    <w:rsid w:val="004178A4"/>
    <w:rsid w:val="004219CC"/>
    <w:rsid w:val="00422F71"/>
    <w:rsid w:val="0042308D"/>
    <w:rsid w:val="00423F09"/>
    <w:rsid w:val="00431528"/>
    <w:rsid w:val="00431B7F"/>
    <w:rsid w:val="00433835"/>
    <w:rsid w:val="00433AF0"/>
    <w:rsid w:val="004345DD"/>
    <w:rsid w:val="00435970"/>
    <w:rsid w:val="00435A74"/>
    <w:rsid w:val="0044004B"/>
    <w:rsid w:val="0044086D"/>
    <w:rsid w:val="00440D90"/>
    <w:rsid w:val="00440DA1"/>
    <w:rsid w:val="0044139D"/>
    <w:rsid w:val="00441F27"/>
    <w:rsid w:val="004420D1"/>
    <w:rsid w:val="00442A3E"/>
    <w:rsid w:val="0044448A"/>
    <w:rsid w:val="00445448"/>
    <w:rsid w:val="0044625B"/>
    <w:rsid w:val="00446652"/>
    <w:rsid w:val="00450320"/>
    <w:rsid w:val="004513EB"/>
    <w:rsid w:val="00451974"/>
    <w:rsid w:val="00452232"/>
    <w:rsid w:val="00453105"/>
    <w:rsid w:val="00454CBB"/>
    <w:rsid w:val="004579D9"/>
    <w:rsid w:val="004579FC"/>
    <w:rsid w:val="00465B28"/>
    <w:rsid w:val="004664F6"/>
    <w:rsid w:val="00467640"/>
    <w:rsid w:val="00467D36"/>
    <w:rsid w:val="00467E17"/>
    <w:rsid w:val="00467FDC"/>
    <w:rsid w:val="00471285"/>
    <w:rsid w:val="0047282F"/>
    <w:rsid w:val="00472A4C"/>
    <w:rsid w:val="0047777B"/>
    <w:rsid w:val="004778A7"/>
    <w:rsid w:val="00477A3F"/>
    <w:rsid w:val="004831B7"/>
    <w:rsid w:val="00483B23"/>
    <w:rsid w:val="00487A01"/>
    <w:rsid w:val="00491792"/>
    <w:rsid w:val="0049206B"/>
    <w:rsid w:val="004926BE"/>
    <w:rsid w:val="00492F1F"/>
    <w:rsid w:val="0049443B"/>
    <w:rsid w:val="00494884"/>
    <w:rsid w:val="00494ABB"/>
    <w:rsid w:val="00494ADF"/>
    <w:rsid w:val="0049565D"/>
    <w:rsid w:val="004974B5"/>
    <w:rsid w:val="004A2C43"/>
    <w:rsid w:val="004A4147"/>
    <w:rsid w:val="004A510F"/>
    <w:rsid w:val="004B2C1F"/>
    <w:rsid w:val="004B3327"/>
    <w:rsid w:val="004B42BC"/>
    <w:rsid w:val="004B510D"/>
    <w:rsid w:val="004B55EE"/>
    <w:rsid w:val="004B71C0"/>
    <w:rsid w:val="004C003D"/>
    <w:rsid w:val="004C0D43"/>
    <w:rsid w:val="004C0F7F"/>
    <w:rsid w:val="004C0F81"/>
    <w:rsid w:val="004C2768"/>
    <w:rsid w:val="004C5B70"/>
    <w:rsid w:val="004C7B11"/>
    <w:rsid w:val="004D022E"/>
    <w:rsid w:val="004D0A69"/>
    <w:rsid w:val="004D1230"/>
    <w:rsid w:val="004D3BE4"/>
    <w:rsid w:val="004D4D00"/>
    <w:rsid w:val="004D5316"/>
    <w:rsid w:val="004D576E"/>
    <w:rsid w:val="004D5B0F"/>
    <w:rsid w:val="004D71A0"/>
    <w:rsid w:val="004E0D13"/>
    <w:rsid w:val="004E10D0"/>
    <w:rsid w:val="004E1249"/>
    <w:rsid w:val="004E14CE"/>
    <w:rsid w:val="004E23AA"/>
    <w:rsid w:val="004E2D56"/>
    <w:rsid w:val="004E3F9F"/>
    <w:rsid w:val="004E42DB"/>
    <w:rsid w:val="004E490F"/>
    <w:rsid w:val="004E4C81"/>
    <w:rsid w:val="004E4EE5"/>
    <w:rsid w:val="004E6700"/>
    <w:rsid w:val="004E6D90"/>
    <w:rsid w:val="004E75BF"/>
    <w:rsid w:val="004E7847"/>
    <w:rsid w:val="004E7F97"/>
    <w:rsid w:val="004F1185"/>
    <w:rsid w:val="004F12CC"/>
    <w:rsid w:val="004F2D00"/>
    <w:rsid w:val="004F327E"/>
    <w:rsid w:val="004F36AB"/>
    <w:rsid w:val="004F3915"/>
    <w:rsid w:val="004F48BF"/>
    <w:rsid w:val="004F5CDE"/>
    <w:rsid w:val="004F5EF0"/>
    <w:rsid w:val="004F68A8"/>
    <w:rsid w:val="004F6AA4"/>
    <w:rsid w:val="005008B6"/>
    <w:rsid w:val="005047EA"/>
    <w:rsid w:val="00504A3D"/>
    <w:rsid w:val="00505C48"/>
    <w:rsid w:val="00507BEA"/>
    <w:rsid w:val="00507E46"/>
    <w:rsid w:val="00510593"/>
    <w:rsid w:val="0051077E"/>
    <w:rsid w:val="005113CC"/>
    <w:rsid w:val="00512181"/>
    <w:rsid w:val="005125D9"/>
    <w:rsid w:val="005132F9"/>
    <w:rsid w:val="00513F96"/>
    <w:rsid w:val="005148DA"/>
    <w:rsid w:val="00520C5C"/>
    <w:rsid w:val="00520D5F"/>
    <w:rsid w:val="005224F8"/>
    <w:rsid w:val="00523618"/>
    <w:rsid w:val="00527C63"/>
    <w:rsid w:val="00527CC0"/>
    <w:rsid w:val="00530F00"/>
    <w:rsid w:val="00531572"/>
    <w:rsid w:val="00531FF4"/>
    <w:rsid w:val="00532CA5"/>
    <w:rsid w:val="00534632"/>
    <w:rsid w:val="0053475E"/>
    <w:rsid w:val="0053531E"/>
    <w:rsid w:val="00535C63"/>
    <w:rsid w:val="00536CBC"/>
    <w:rsid w:val="00536FDD"/>
    <w:rsid w:val="005405AA"/>
    <w:rsid w:val="0054064F"/>
    <w:rsid w:val="00540732"/>
    <w:rsid w:val="00541D62"/>
    <w:rsid w:val="00542608"/>
    <w:rsid w:val="005432D0"/>
    <w:rsid w:val="00543854"/>
    <w:rsid w:val="00543B28"/>
    <w:rsid w:val="005478A5"/>
    <w:rsid w:val="005512EB"/>
    <w:rsid w:val="0055253E"/>
    <w:rsid w:val="00552EAB"/>
    <w:rsid w:val="00553077"/>
    <w:rsid w:val="00553702"/>
    <w:rsid w:val="00554E8B"/>
    <w:rsid w:val="00555E20"/>
    <w:rsid w:val="00556370"/>
    <w:rsid w:val="005563A7"/>
    <w:rsid w:val="00557E1F"/>
    <w:rsid w:val="00560D5D"/>
    <w:rsid w:val="0056466D"/>
    <w:rsid w:val="00564E77"/>
    <w:rsid w:val="00565DB6"/>
    <w:rsid w:val="0056619A"/>
    <w:rsid w:val="00566339"/>
    <w:rsid w:val="005674BE"/>
    <w:rsid w:val="00567D8A"/>
    <w:rsid w:val="00570F9F"/>
    <w:rsid w:val="00571D34"/>
    <w:rsid w:val="005721AA"/>
    <w:rsid w:val="0057259B"/>
    <w:rsid w:val="00572731"/>
    <w:rsid w:val="00573620"/>
    <w:rsid w:val="00574470"/>
    <w:rsid w:val="005769F2"/>
    <w:rsid w:val="0058034B"/>
    <w:rsid w:val="005805F2"/>
    <w:rsid w:val="005826A0"/>
    <w:rsid w:val="0058571A"/>
    <w:rsid w:val="005858F0"/>
    <w:rsid w:val="0059203B"/>
    <w:rsid w:val="00594CC8"/>
    <w:rsid w:val="00597166"/>
    <w:rsid w:val="005A0E42"/>
    <w:rsid w:val="005A0FDB"/>
    <w:rsid w:val="005A3C6E"/>
    <w:rsid w:val="005A430C"/>
    <w:rsid w:val="005A4A3F"/>
    <w:rsid w:val="005A4C43"/>
    <w:rsid w:val="005A6032"/>
    <w:rsid w:val="005A7A0D"/>
    <w:rsid w:val="005B2956"/>
    <w:rsid w:val="005B474C"/>
    <w:rsid w:val="005B51B2"/>
    <w:rsid w:val="005B52FD"/>
    <w:rsid w:val="005B61C8"/>
    <w:rsid w:val="005B61CB"/>
    <w:rsid w:val="005B70E8"/>
    <w:rsid w:val="005C00DA"/>
    <w:rsid w:val="005C0E76"/>
    <w:rsid w:val="005C1EAD"/>
    <w:rsid w:val="005C22F1"/>
    <w:rsid w:val="005C42D7"/>
    <w:rsid w:val="005C47A0"/>
    <w:rsid w:val="005C50B5"/>
    <w:rsid w:val="005C55E7"/>
    <w:rsid w:val="005C5D49"/>
    <w:rsid w:val="005C5EC4"/>
    <w:rsid w:val="005C6567"/>
    <w:rsid w:val="005C68F7"/>
    <w:rsid w:val="005C79EE"/>
    <w:rsid w:val="005D2C63"/>
    <w:rsid w:val="005D2CC4"/>
    <w:rsid w:val="005D3793"/>
    <w:rsid w:val="005D40BD"/>
    <w:rsid w:val="005D5792"/>
    <w:rsid w:val="005D5E18"/>
    <w:rsid w:val="005D6708"/>
    <w:rsid w:val="005E1B86"/>
    <w:rsid w:val="005E3109"/>
    <w:rsid w:val="005E452B"/>
    <w:rsid w:val="005E4E1D"/>
    <w:rsid w:val="005E5F50"/>
    <w:rsid w:val="005E6713"/>
    <w:rsid w:val="005E74AC"/>
    <w:rsid w:val="005F1258"/>
    <w:rsid w:val="005F22C7"/>
    <w:rsid w:val="005F2C05"/>
    <w:rsid w:val="005F522F"/>
    <w:rsid w:val="005F644B"/>
    <w:rsid w:val="005F7A12"/>
    <w:rsid w:val="00601348"/>
    <w:rsid w:val="006028B3"/>
    <w:rsid w:val="00603A17"/>
    <w:rsid w:val="006047D8"/>
    <w:rsid w:val="00606753"/>
    <w:rsid w:val="006105DC"/>
    <w:rsid w:val="00611228"/>
    <w:rsid w:val="006112E0"/>
    <w:rsid w:val="0061136E"/>
    <w:rsid w:val="00611566"/>
    <w:rsid w:val="00612623"/>
    <w:rsid w:val="00613460"/>
    <w:rsid w:val="0061385D"/>
    <w:rsid w:val="00614BAC"/>
    <w:rsid w:val="00616522"/>
    <w:rsid w:val="006173F2"/>
    <w:rsid w:val="00617411"/>
    <w:rsid w:val="00617DDC"/>
    <w:rsid w:val="00620945"/>
    <w:rsid w:val="0062137C"/>
    <w:rsid w:val="0062211B"/>
    <w:rsid w:val="00627E23"/>
    <w:rsid w:val="00632C10"/>
    <w:rsid w:val="006339F9"/>
    <w:rsid w:val="00634518"/>
    <w:rsid w:val="00640CBF"/>
    <w:rsid w:val="006415EB"/>
    <w:rsid w:val="00642728"/>
    <w:rsid w:val="0064443E"/>
    <w:rsid w:val="00646AB5"/>
    <w:rsid w:val="00646AD6"/>
    <w:rsid w:val="00646E2F"/>
    <w:rsid w:val="00647F7B"/>
    <w:rsid w:val="00651349"/>
    <w:rsid w:val="00651C4E"/>
    <w:rsid w:val="0065257F"/>
    <w:rsid w:val="00652BF4"/>
    <w:rsid w:val="00653FE2"/>
    <w:rsid w:val="00654022"/>
    <w:rsid w:val="00655357"/>
    <w:rsid w:val="00655B21"/>
    <w:rsid w:val="00657810"/>
    <w:rsid w:val="006633BA"/>
    <w:rsid w:val="00664DB4"/>
    <w:rsid w:val="00665371"/>
    <w:rsid w:val="0066756B"/>
    <w:rsid w:val="0066793C"/>
    <w:rsid w:val="00667D58"/>
    <w:rsid w:val="00670886"/>
    <w:rsid w:val="00670F4F"/>
    <w:rsid w:val="00671B19"/>
    <w:rsid w:val="00673347"/>
    <w:rsid w:val="0067397D"/>
    <w:rsid w:val="006742F9"/>
    <w:rsid w:val="006806E0"/>
    <w:rsid w:val="00680F59"/>
    <w:rsid w:val="00681C49"/>
    <w:rsid w:val="006847DB"/>
    <w:rsid w:val="0068542C"/>
    <w:rsid w:val="00685A31"/>
    <w:rsid w:val="00686538"/>
    <w:rsid w:val="00687FB5"/>
    <w:rsid w:val="00687FFB"/>
    <w:rsid w:val="00690070"/>
    <w:rsid w:val="006903C4"/>
    <w:rsid w:val="00692215"/>
    <w:rsid w:val="00692FA3"/>
    <w:rsid w:val="006977BE"/>
    <w:rsid w:val="006A0DF9"/>
    <w:rsid w:val="006A1C78"/>
    <w:rsid w:val="006A2491"/>
    <w:rsid w:val="006A3A39"/>
    <w:rsid w:val="006A3DFE"/>
    <w:rsid w:val="006A4AE5"/>
    <w:rsid w:val="006A5068"/>
    <w:rsid w:val="006B0699"/>
    <w:rsid w:val="006B1A15"/>
    <w:rsid w:val="006B28CB"/>
    <w:rsid w:val="006B2E88"/>
    <w:rsid w:val="006B489A"/>
    <w:rsid w:val="006B5E16"/>
    <w:rsid w:val="006B693C"/>
    <w:rsid w:val="006B6CAA"/>
    <w:rsid w:val="006B6D48"/>
    <w:rsid w:val="006C0C6F"/>
    <w:rsid w:val="006C0E17"/>
    <w:rsid w:val="006C1E56"/>
    <w:rsid w:val="006C24F9"/>
    <w:rsid w:val="006C2801"/>
    <w:rsid w:val="006C30BB"/>
    <w:rsid w:val="006C3538"/>
    <w:rsid w:val="006C3545"/>
    <w:rsid w:val="006C3AA7"/>
    <w:rsid w:val="006C6DBF"/>
    <w:rsid w:val="006C7213"/>
    <w:rsid w:val="006C757C"/>
    <w:rsid w:val="006D0A0F"/>
    <w:rsid w:val="006D118C"/>
    <w:rsid w:val="006D1C7A"/>
    <w:rsid w:val="006D46D5"/>
    <w:rsid w:val="006D4EBC"/>
    <w:rsid w:val="006D6EFE"/>
    <w:rsid w:val="006E30CC"/>
    <w:rsid w:val="006E4F89"/>
    <w:rsid w:val="006E5BB1"/>
    <w:rsid w:val="006E63FF"/>
    <w:rsid w:val="006E773E"/>
    <w:rsid w:val="006E7B94"/>
    <w:rsid w:val="006F0BCF"/>
    <w:rsid w:val="006F1223"/>
    <w:rsid w:val="006F145E"/>
    <w:rsid w:val="006F18DE"/>
    <w:rsid w:val="006F1C81"/>
    <w:rsid w:val="006F1F31"/>
    <w:rsid w:val="006F40F5"/>
    <w:rsid w:val="006F515E"/>
    <w:rsid w:val="006F5C83"/>
    <w:rsid w:val="006F7756"/>
    <w:rsid w:val="007002D4"/>
    <w:rsid w:val="00701373"/>
    <w:rsid w:val="00701936"/>
    <w:rsid w:val="00702B18"/>
    <w:rsid w:val="00703FBA"/>
    <w:rsid w:val="00704743"/>
    <w:rsid w:val="00706505"/>
    <w:rsid w:val="00706750"/>
    <w:rsid w:val="007067E6"/>
    <w:rsid w:val="007068FE"/>
    <w:rsid w:val="0070734C"/>
    <w:rsid w:val="00711258"/>
    <w:rsid w:val="007120E5"/>
    <w:rsid w:val="00712363"/>
    <w:rsid w:val="007124AA"/>
    <w:rsid w:val="007134B7"/>
    <w:rsid w:val="00715631"/>
    <w:rsid w:val="007161B5"/>
    <w:rsid w:val="00716AD6"/>
    <w:rsid w:val="007208FE"/>
    <w:rsid w:val="0072302E"/>
    <w:rsid w:val="007233BF"/>
    <w:rsid w:val="00726BB8"/>
    <w:rsid w:val="00727D81"/>
    <w:rsid w:val="00730793"/>
    <w:rsid w:val="007326B2"/>
    <w:rsid w:val="00733ECD"/>
    <w:rsid w:val="007344C8"/>
    <w:rsid w:val="00736197"/>
    <w:rsid w:val="00737293"/>
    <w:rsid w:val="007376F5"/>
    <w:rsid w:val="00741874"/>
    <w:rsid w:val="00741E63"/>
    <w:rsid w:val="00744127"/>
    <w:rsid w:val="007457A5"/>
    <w:rsid w:val="00746945"/>
    <w:rsid w:val="007473C2"/>
    <w:rsid w:val="00750FF1"/>
    <w:rsid w:val="00751D3C"/>
    <w:rsid w:val="00752079"/>
    <w:rsid w:val="007531E2"/>
    <w:rsid w:val="0075330D"/>
    <w:rsid w:val="007552FC"/>
    <w:rsid w:val="00755A3B"/>
    <w:rsid w:val="00757DA1"/>
    <w:rsid w:val="00760341"/>
    <w:rsid w:val="007603F2"/>
    <w:rsid w:val="007606A1"/>
    <w:rsid w:val="007615CE"/>
    <w:rsid w:val="007616F7"/>
    <w:rsid w:val="007622B8"/>
    <w:rsid w:val="00763B1E"/>
    <w:rsid w:val="00766338"/>
    <w:rsid w:val="007663B2"/>
    <w:rsid w:val="00767ED8"/>
    <w:rsid w:val="0077021E"/>
    <w:rsid w:val="00771119"/>
    <w:rsid w:val="0077155E"/>
    <w:rsid w:val="00772B41"/>
    <w:rsid w:val="00774171"/>
    <w:rsid w:val="00774FBA"/>
    <w:rsid w:val="0077527D"/>
    <w:rsid w:val="00786272"/>
    <w:rsid w:val="00787637"/>
    <w:rsid w:val="00790A0B"/>
    <w:rsid w:val="0079235C"/>
    <w:rsid w:val="0079263A"/>
    <w:rsid w:val="007945D3"/>
    <w:rsid w:val="00794672"/>
    <w:rsid w:val="0079469A"/>
    <w:rsid w:val="0079489C"/>
    <w:rsid w:val="00794E74"/>
    <w:rsid w:val="007955B9"/>
    <w:rsid w:val="007A2A99"/>
    <w:rsid w:val="007A3A50"/>
    <w:rsid w:val="007A432F"/>
    <w:rsid w:val="007A4D4C"/>
    <w:rsid w:val="007A51E2"/>
    <w:rsid w:val="007A6231"/>
    <w:rsid w:val="007A6927"/>
    <w:rsid w:val="007A6FF9"/>
    <w:rsid w:val="007A7097"/>
    <w:rsid w:val="007A72DE"/>
    <w:rsid w:val="007B00FE"/>
    <w:rsid w:val="007B07A3"/>
    <w:rsid w:val="007B0E1D"/>
    <w:rsid w:val="007B1480"/>
    <w:rsid w:val="007B1D0B"/>
    <w:rsid w:val="007B29A3"/>
    <w:rsid w:val="007B2D78"/>
    <w:rsid w:val="007B3BD5"/>
    <w:rsid w:val="007B3C85"/>
    <w:rsid w:val="007B3E95"/>
    <w:rsid w:val="007B41AB"/>
    <w:rsid w:val="007B4B38"/>
    <w:rsid w:val="007B7CAD"/>
    <w:rsid w:val="007C03C4"/>
    <w:rsid w:val="007C0446"/>
    <w:rsid w:val="007C0A13"/>
    <w:rsid w:val="007C1088"/>
    <w:rsid w:val="007C18E2"/>
    <w:rsid w:val="007C2062"/>
    <w:rsid w:val="007C2D4B"/>
    <w:rsid w:val="007C3131"/>
    <w:rsid w:val="007C4C3E"/>
    <w:rsid w:val="007C518D"/>
    <w:rsid w:val="007C5465"/>
    <w:rsid w:val="007C6111"/>
    <w:rsid w:val="007C666F"/>
    <w:rsid w:val="007C683B"/>
    <w:rsid w:val="007C72EF"/>
    <w:rsid w:val="007D65EA"/>
    <w:rsid w:val="007D7B64"/>
    <w:rsid w:val="007E236F"/>
    <w:rsid w:val="007E5BAF"/>
    <w:rsid w:val="007E7934"/>
    <w:rsid w:val="007F0317"/>
    <w:rsid w:val="007F242C"/>
    <w:rsid w:val="007F2A34"/>
    <w:rsid w:val="007F4BEF"/>
    <w:rsid w:val="007F5239"/>
    <w:rsid w:val="007F622D"/>
    <w:rsid w:val="007F65C7"/>
    <w:rsid w:val="007F6614"/>
    <w:rsid w:val="007F71F5"/>
    <w:rsid w:val="00802A19"/>
    <w:rsid w:val="00805F31"/>
    <w:rsid w:val="008060EE"/>
    <w:rsid w:val="00806A38"/>
    <w:rsid w:val="00806DF5"/>
    <w:rsid w:val="00810C9F"/>
    <w:rsid w:val="0081183F"/>
    <w:rsid w:val="00814C12"/>
    <w:rsid w:val="00815A3D"/>
    <w:rsid w:val="00816449"/>
    <w:rsid w:val="008168D7"/>
    <w:rsid w:val="008169FE"/>
    <w:rsid w:val="0081756C"/>
    <w:rsid w:val="00817AAD"/>
    <w:rsid w:val="00820834"/>
    <w:rsid w:val="0082355E"/>
    <w:rsid w:val="008250CA"/>
    <w:rsid w:val="00825100"/>
    <w:rsid w:val="0082554D"/>
    <w:rsid w:val="008269D0"/>
    <w:rsid w:val="0083005E"/>
    <w:rsid w:val="008300C4"/>
    <w:rsid w:val="00830917"/>
    <w:rsid w:val="008315EB"/>
    <w:rsid w:val="00832219"/>
    <w:rsid w:val="00834529"/>
    <w:rsid w:val="00834938"/>
    <w:rsid w:val="00835264"/>
    <w:rsid w:val="00835BEA"/>
    <w:rsid w:val="00835F5C"/>
    <w:rsid w:val="0083676D"/>
    <w:rsid w:val="0084061E"/>
    <w:rsid w:val="0084299A"/>
    <w:rsid w:val="00843644"/>
    <w:rsid w:val="008449A8"/>
    <w:rsid w:val="008449DB"/>
    <w:rsid w:val="00844C48"/>
    <w:rsid w:val="00845090"/>
    <w:rsid w:val="00845209"/>
    <w:rsid w:val="00847196"/>
    <w:rsid w:val="008479C5"/>
    <w:rsid w:val="00850783"/>
    <w:rsid w:val="00851FED"/>
    <w:rsid w:val="0085642C"/>
    <w:rsid w:val="0085739C"/>
    <w:rsid w:val="008627CE"/>
    <w:rsid w:val="008628B0"/>
    <w:rsid w:val="008637B0"/>
    <w:rsid w:val="0086506A"/>
    <w:rsid w:val="0086540C"/>
    <w:rsid w:val="00865EAA"/>
    <w:rsid w:val="008702A2"/>
    <w:rsid w:val="00871286"/>
    <w:rsid w:val="00871573"/>
    <w:rsid w:val="0087527C"/>
    <w:rsid w:val="00876527"/>
    <w:rsid w:val="008766C7"/>
    <w:rsid w:val="00877920"/>
    <w:rsid w:val="00877E90"/>
    <w:rsid w:val="008800CF"/>
    <w:rsid w:val="00881172"/>
    <w:rsid w:val="00881453"/>
    <w:rsid w:val="00881AB1"/>
    <w:rsid w:val="00884291"/>
    <w:rsid w:val="0088535E"/>
    <w:rsid w:val="008857AC"/>
    <w:rsid w:val="00891031"/>
    <w:rsid w:val="008948C9"/>
    <w:rsid w:val="00894D3D"/>
    <w:rsid w:val="008A000F"/>
    <w:rsid w:val="008A08A9"/>
    <w:rsid w:val="008A233A"/>
    <w:rsid w:val="008A2596"/>
    <w:rsid w:val="008A2F11"/>
    <w:rsid w:val="008A47F7"/>
    <w:rsid w:val="008A5524"/>
    <w:rsid w:val="008A69AF"/>
    <w:rsid w:val="008A71EF"/>
    <w:rsid w:val="008A73B4"/>
    <w:rsid w:val="008A766D"/>
    <w:rsid w:val="008B01C8"/>
    <w:rsid w:val="008B0384"/>
    <w:rsid w:val="008B07D8"/>
    <w:rsid w:val="008B2320"/>
    <w:rsid w:val="008B57D3"/>
    <w:rsid w:val="008B6727"/>
    <w:rsid w:val="008C0F97"/>
    <w:rsid w:val="008C12E7"/>
    <w:rsid w:val="008C143A"/>
    <w:rsid w:val="008C2C4A"/>
    <w:rsid w:val="008C2C8C"/>
    <w:rsid w:val="008C2D2C"/>
    <w:rsid w:val="008C323D"/>
    <w:rsid w:val="008C367B"/>
    <w:rsid w:val="008C554E"/>
    <w:rsid w:val="008C5848"/>
    <w:rsid w:val="008C734B"/>
    <w:rsid w:val="008D023D"/>
    <w:rsid w:val="008D08EC"/>
    <w:rsid w:val="008D0E1F"/>
    <w:rsid w:val="008D1088"/>
    <w:rsid w:val="008D410D"/>
    <w:rsid w:val="008D48D6"/>
    <w:rsid w:val="008D4DD5"/>
    <w:rsid w:val="008D6675"/>
    <w:rsid w:val="008D670A"/>
    <w:rsid w:val="008E039D"/>
    <w:rsid w:val="008E341A"/>
    <w:rsid w:val="008E481D"/>
    <w:rsid w:val="008E6BC9"/>
    <w:rsid w:val="008E78C1"/>
    <w:rsid w:val="008F11A3"/>
    <w:rsid w:val="008F2A96"/>
    <w:rsid w:val="008F2C7C"/>
    <w:rsid w:val="008F2FAA"/>
    <w:rsid w:val="008F46F9"/>
    <w:rsid w:val="008F4A31"/>
    <w:rsid w:val="008F4AEB"/>
    <w:rsid w:val="008F5E0D"/>
    <w:rsid w:val="008F7618"/>
    <w:rsid w:val="008F76CB"/>
    <w:rsid w:val="0090064F"/>
    <w:rsid w:val="00901245"/>
    <w:rsid w:val="00901594"/>
    <w:rsid w:val="00901771"/>
    <w:rsid w:val="00903339"/>
    <w:rsid w:val="00907514"/>
    <w:rsid w:val="009079AA"/>
    <w:rsid w:val="0091054D"/>
    <w:rsid w:val="0091446C"/>
    <w:rsid w:val="00915776"/>
    <w:rsid w:val="009160AF"/>
    <w:rsid w:val="009162D8"/>
    <w:rsid w:val="00920078"/>
    <w:rsid w:val="009203B3"/>
    <w:rsid w:val="009203DE"/>
    <w:rsid w:val="0092059D"/>
    <w:rsid w:val="00921287"/>
    <w:rsid w:val="009223F2"/>
    <w:rsid w:val="00923160"/>
    <w:rsid w:val="00923923"/>
    <w:rsid w:val="009248FE"/>
    <w:rsid w:val="00926205"/>
    <w:rsid w:val="009266F4"/>
    <w:rsid w:val="00926944"/>
    <w:rsid w:val="00927EC4"/>
    <w:rsid w:val="009303EF"/>
    <w:rsid w:val="00930CAC"/>
    <w:rsid w:val="00930F68"/>
    <w:rsid w:val="00931611"/>
    <w:rsid w:val="00932C75"/>
    <w:rsid w:val="00934521"/>
    <w:rsid w:val="009346D8"/>
    <w:rsid w:val="00934977"/>
    <w:rsid w:val="00935AA5"/>
    <w:rsid w:val="00935CE6"/>
    <w:rsid w:val="009371F0"/>
    <w:rsid w:val="00940517"/>
    <w:rsid w:val="0094206B"/>
    <w:rsid w:val="00942264"/>
    <w:rsid w:val="00943F2C"/>
    <w:rsid w:val="00944082"/>
    <w:rsid w:val="0094426A"/>
    <w:rsid w:val="00944A07"/>
    <w:rsid w:val="009455CC"/>
    <w:rsid w:val="00947A88"/>
    <w:rsid w:val="00947E15"/>
    <w:rsid w:val="00950B9F"/>
    <w:rsid w:val="009519C7"/>
    <w:rsid w:val="00951C11"/>
    <w:rsid w:val="00951D6A"/>
    <w:rsid w:val="009529B8"/>
    <w:rsid w:val="009532D3"/>
    <w:rsid w:val="00953E28"/>
    <w:rsid w:val="00954658"/>
    <w:rsid w:val="00954778"/>
    <w:rsid w:val="0095582E"/>
    <w:rsid w:val="009568EF"/>
    <w:rsid w:val="00956BC2"/>
    <w:rsid w:val="00957A54"/>
    <w:rsid w:val="00961EF5"/>
    <w:rsid w:val="009629F7"/>
    <w:rsid w:val="0096430B"/>
    <w:rsid w:val="0096434F"/>
    <w:rsid w:val="00965E02"/>
    <w:rsid w:val="00966513"/>
    <w:rsid w:val="00967DB3"/>
    <w:rsid w:val="009715E1"/>
    <w:rsid w:val="009724D3"/>
    <w:rsid w:val="009739D0"/>
    <w:rsid w:val="00973CED"/>
    <w:rsid w:val="009757EE"/>
    <w:rsid w:val="00976EFA"/>
    <w:rsid w:val="00977C21"/>
    <w:rsid w:val="00980B82"/>
    <w:rsid w:val="00984265"/>
    <w:rsid w:val="00984A57"/>
    <w:rsid w:val="00984EE5"/>
    <w:rsid w:val="00985C22"/>
    <w:rsid w:val="00986171"/>
    <w:rsid w:val="009864EB"/>
    <w:rsid w:val="0098661C"/>
    <w:rsid w:val="00987AF8"/>
    <w:rsid w:val="00987C89"/>
    <w:rsid w:val="009903CB"/>
    <w:rsid w:val="0099068E"/>
    <w:rsid w:val="0099145A"/>
    <w:rsid w:val="009925A3"/>
    <w:rsid w:val="009933E0"/>
    <w:rsid w:val="00994935"/>
    <w:rsid w:val="00994CDA"/>
    <w:rsid w:val="0099506E"/>
    <w:rsid w:val="00995CCD"/>
    <w:rsid w:val="00996977"/>
    <w:rsid w:val="00997F1D"/>
    <w:rsid w:val="009A055A"/>
    <w:rsid w:val="009A0753"/>
    <w:rsid w:val="009A1FA7"/>
    <w:rsid w:val="009A47C6"/>
    <w:rsid w:val="009A4AA0"/>
    <w:rsid w:val="009A7D70"/>
    <w:rsid w:val="009B0147"/>
    <w:rsid w:val="009B080C"/>
    <w:rsid w:val="009B356C"/>
    <w:rsid w:val="009B3E08"/>
    <w:rsid w:val="009B3FD6"/>
    <w:rsid w:val="009B44BA"/>
    <w:rsid w:val="009C036D"/>
    <w:rsid w:val="009C11AE"/>
    <w:rsid w:val="009C3340"/>
    <w:rsid w:val="009C4C9D"/>
    <w:rsid w:val="009C6069"/>
    <w:rsid w:val="009C6E81"/>
    <w:rsid w:val="009C749E"/>
    <w:rsid w:val="009C7E63"/>
    <w:rsid w:val="009D04DE"/>
    <w:rsid w:val="009D0755"/>
    <w:rsid w:val="009D3D79"/>
    <w:rsid w:val="009D537F"/>
    <w:rsid w:val="009D6134"/>
    <w:rsid w:val="009D626C"/>
    <w:rsid w:val="009D6875"/>
    <w:rsid w:val="009D69A7"/>
    <w:rsid w:val="009E080C"/>
    <w:rsid w:val="009E187B"/>
    <w:rsid w:val="009E19D6"/>
    <w:rsid w:val="009E291F"/>
    <w:rsid w:val="009E312C"/>
    <w:rsid w:val="009E4FCE"/>
    <w:rsid w:val="009E52EC"/>
    <w:rsid w:val="009E55B8"/>
    <w:rsid w:val="009E5B49"/>
    <w:rsid w:val="009E7DCC"/>
    <w:rsid w:val="009F016C"/>
    <w:rsid w:val="009F1F9A"/>
    <w:rsid w:val="009F205B"/>
    <w:rsid w:val="009F28B0"/>
    <w:rsid w:val="009F2CB9"/>
    <w:rsid w:val="009F2CE7"/>
    <w:rsid w:val="009F4058"/>
    <w:rsid w:val="009F6189"/>
    <w:rsid w:val="00A00EBE"/>
    <w:rsid w:val="00A016E4"/>
    <w:rsid w:val="00A01AB1"/>
    <w:rsid w:val="00A02E55"/>
    <w:rsid w:val="00A02E8A"/>
    <w:rsid w:val="00A05CC3"/>
    <w:rsid w:val="00A06E9E"/>
    <w:rsid w:val="00A10E5C"/>
    <w:rsid w:val="00A11537"/>
    <w:rsid w:val="00A15CED"/>
    <w:rsid w:val="00A15F87"/>
    <w:rsid w:val="00A20E7C"/>
    <w:rsid w:val="00A22EE0"/>
    <w:rsid w:val="00A245DA"/>
    <w:rsid w:val="00A24E58"/>
    <w:rsid w:val="00A25125"/>
    <w:rsid w:val="00A25131"/>
    <w:rsid w:val="00A2589C"/>
    <w:rsid w:val="00A25DB6"/>
    <w:rsid w:val="00A313BD"/>
    <w:rsid w:val="00A32E53"/>
    <w:rsid w:val="00A34715"/>
    <w:rsid w:val="00A34895"/>
    <w:rsid w:val="00A35AB9"/>
    <w:rsid w:val="00A36319"/>
    <w:rsid w:val="00A36B1C"/>
    <w:rsid w:val="00A37FDC"/>
    <w:rsid w:val="00A4030A"/>
    <w:rsid w:val="00A40BA6"/>
    <w:rsid w:val="00A433B2"/>
    <w:rsid w:val="00A43AB5"/>
    <w:rsid w:val="00A447B6"/>
    <w:rsid w:val="00A4512D"/>
    <w:rsid w:val="00A47CB4"/>
    <w:rsid w:val="00A50082"/>
    <w:rsid w:val="00A520AA"/>
    <w:rsid w:val="00A53BBF"/>
    <w:rsid w:val="00A53DDD"/>
    <w:rsid w:val="00A55625"/>
    <w:rsid w:val="00A5595F"/>
    <w:rsid w:val="00A5597C"/>
    <w:rsid w:val="00A55D89"/>
    <w:rsid w:val="00A56923"/>
    <w:rsid w:val="00A57B06"/>
    <w:rsid w:val="00A60C75"/>
    <w:rsid w:val="00A61617"/>
    <w:rsid w:val="00A61CC9"/>
    <w:rsid w:val="00A62680"/>
    <w:rsid w:val="00A66A41"/>
    <w:rsid w:val="00A67EE9"/>
    <w:rsid w:val="00A70B02"/>
    <w:rsid w:val="00A70B5F"/>
    <w:rsid w:val="00A72C3E"/>
    <w:rsid w:val="00A72D92"/>
    <w:rsid w:val="00A73ECE"/>
    <w:rsid w:val="00A75CAD"/>
    <w:rsid w:val="00A808D5"/>
    <w:rsid w:val="00A81B4B"/>
    <w:rsid w:val="00A81EDC"/>
    <w:rsid w:val="00A8259F"/>
    <w:rsid w:val="00A849E3"/>
    <w:rsid w:val="00A87AB0"/>
    <w:rsid w:val="00A87D84"/>
    <w:rsid w:val="00A903AD"/>
    <w:rsid w:val="00A926C0"/>
    <w:rsid w:val="00A94FD5"/>
    <w:rsid w:val="00A97CAE"/>
    <w:rsid w:val="00AA0812"/>
    <w:rsid w:val="00AA1002"/>
    <w:rsid w:val="00AA1A2F"/>
    <w:rsid w:val="00AA1B24"/>
    <w:rsid w:val="00AA2907"/>
    <w:rsid w:val="00AA2C38"/>
    <w:rsid w:val="00AA34CC"/>
    <w:rsid w:val="00AA3EA5"/>
    <w:rsid w:val="00AA4E46"/>
    <w:rsid w:val="00AA5878"/>
    <w:rsid w:val="00AA67F1"/>
    <w:rsid w:val="00AA73A2"/>
    <w:rsid w:val="00AB069C"/>
    <w:rsid w:val="00AB2721"/>
    <w:rsid w:val="00AB3399"/>
    <w:rsid w:val="00AB7863"/>
    <w:rsid w:val="00AB7B10"/>
    <w:rsid w:val="00AC03D6"/>
    <w:rsid w:val="00AC06C5"/>
    <w:rsid w:val="00AC2223"/>
    <w:rsid w:val="00AC2A49"/>
    <w:rsid w:val="00AC2EB3"/>
    <w:rsid w:val="00AC3A2C"/>
    <w:rsid w:val="00AC57EE"/>
    <w:rsid w:val="00AC5C34"/>
    <w:rsid w:val="00AC6397"/>
    <w:rsid w:val="00AC6CD5"/>
    <w:rsid w:val="00AC76EE"/>
    <w:rsid w:val="00AC7810"/>
    <w:rsid w:val="00AD1B1B"/>
    <w:rsid w:val="00AD2833"/>
    <w:rsid w:val="00AD2D08"/>
    <w:rsid w:val="00AD3A0D"/>
    <w:rsid w:val="00AD3C73"/>
    <w:rsid w:val="00AD439E"/>
    <w:rsid w:val="00AD64B6"/>
    <w:rsid w:val="00AD7056"/>
    <w:rsid w:val="00AD7551"/>
    <w:rsid w:val="00AE0EAF"/>
    <w:rsid w:val="00AE1052"/>
    <w:rsid w:val="00AE351E"/>
    <w:rsid w:val="00AF00A7"/>
    <w:rsid w:val="00AF0FA8"/>
    <w:rsid w:val="00AF3B7B"/>
    <w:rsid w:val="00AF4553"/>
    <w:rsid w:val="00AF56D6"/>
    <w:rsid w:val="00AF5B65"/>
    <w:rsid w:val="00AF6926"/>
    <w:rsid w:val="00AF6B1D"/>
    <w:rsid w:val="00AF6DE7"/>
    <w:rsid w:val="00B00853"/>
    <w:rsid w:val="00B01384"/>
    <w:rsid w:val="00B045E8"/>
    <w:rsid w:val="00B06649"/>
    <w:rsid w:val="00B072F2"/>
    <w:rsid w:val="00B10386"/>
    <w:rsid w:val="00B108B1"/>
    <w:rsid w:val="00B10E7B"/>
    <w:rsid w:val="00B13B14"/>
    <w:rsid w:val="00B13B19"/>
    <w:rsid w:val="00B144BD"/>
    <w:rsid w:val="00B150A1"/>
    <w:rsid w:val="00B15650"/>
    <w:rsid w:val="00B17721"/>
    <w:rsid w:val="00B17BCC"/>
    <w:rsid w:val="00B17EB3"/>
    <w:rsid w:val="00B216CC"/>
    <w:rsid w:val="00B21DC4"/>
    <w:rsid w:val="00B232D9"/>
    <w:rsid w:val="00B23942"/>
    <w:rsid w:val="00B241BC"/>
    <w:rsid w:val="00B253D6"/>
    <w:rsid w:val="00B30F8D"/>
    <w:rsid w:val="00B31288"/>
    <w:rsid w:val="00B32E87"/>
    <w:rsid w:val="00B338ED"/>
    <w:rsid w:val="00B34239"/>
    <w:rsid w:val="00B35986"/>
    <w:rsid w:val="00B36818"/>
    <w:rsid w:val="00B40175"/>
    <w:rsid w:val="00B40B94"/>
    <w:rsid w:val="00B423F0"/>
    <w:rsid w:val="00B444A1"/>
    <w:rsid w:val="00B44CD8"/>
    <w:rsid w:val="00B46279"/>
    <w:rsid w:val="00B46A66"/>
    <w:rsid w:val="00B47351"/>
    <w:rsid w:val="00B51D1A"/>
    <w:rsid w:val="00B52FE4"/>
    <w:rsid w:val="00B53ED7"/>
    <w:rsid w:val="00B54372"/>
    <w:rsid w:val="00B55392"/>
    <w:rsid w:val="00B56175"/>
    <w:rsid w:val="00B60883"/>
    <w:rsid w:val="00B64DAF"/>
    <w:rsid w:val="00B662D2"/>
    <w:rsid w:val="00B707EF"/>
    <w:rsid w:val="00B70DBB"/>
    <w:rsid w:val="00B71855"/>
    <w:rsid w:val="00B71BD3"/>
    <w:rsid w:val="00B71D60"/>
    <w:rsid w:val="00B72549"/>
    <w:rsid w:val="00B74FC5"/>
    <w:rsid w:val="00B75171"/>
    <w:rsid w:val="00B753A6"/>
    <w:rsid w:val="00B77537"/>
    <w:rsid w:val="00B833AE"/>
    <w:rsid w:val="00B84123"/>
    <w:rsid w:val="00B84E44"/>
    <w:rsid w:val="00B862D4"/>
    <w:rsid w:val="00B86A27"/>
    <w:rsid w:val="00B87719"/>
    <w:rsid w:val="00B91834"/>
    <w:rsid w:val="00B91858"/>
    <w:rsid w:val="00B944B5"/>
    <w:rsid w:val="00B957D8"/>
    <w:rsid w:val="00B95AAA"/>
    <w:rsid w:val="00B964C5"/>
    <w:rsid w:val="00B968A8"/>
    <w:rsid w:val="00BA37F4"/>
    <w:rsid w:val="00BA3A0C"/>
    <w:rsid w:val="00BA425D"/>
    <w:rsid w:val="00BA513F"/>
    <w:rsid w:val="00BA6188"/>
    <w:rsid w:val="00BB0374"/>
    <w:rsid w:val="00BB0FEE"/>
    <w:rsid w:val="00BB322A"/>
    <w:rsid w:val="00BB3DDD"/>
    <w:rsid w:val="00BB52A2"/>
    <w:rsid w:val="00BB5874"/>
    <w:rsid w:val="00BB6FFE"/>
    <w:rsid w:val="00BB7892"/>
    <w:rsid w:val="00BC0338"/>
    <w:rsid w:val="00BC327E"/>
    <w:rsid w:val="00BC5155"/>
    <w:rsid w:val="00BC5F6E"/>
    <w:rsid w:val="00BC6D40"/>
    <w:rsid w:val="00BC70CB"/>
    <w:rsid w:val="00BD0AFA"/>
    <w:rsid w:val="00BD1A74"/>
    <w:rsid w:val="00BD69D1"/>
    <w:rsid w:val="00BE031B"/>
    <w:rsid w:val="00BE2202"/>
    <w:rsid w:val="00BE4795"/>
    <w:rsid w:val="00BE4BE4"/>
    <w:rsid w:val="00BE5762"/>
    <w:rsid w:val="00BE759B"/>
    <w:rsid w:val="00BE7626"/>
    <w:rsid w:val="00BE7988"/>
    <w:rsid w:val="00BE7C66"/>
    <w:rsid w:val="00BF0B57"/>
    <w:rsid w:val="00BF2C91"/>
    <w:rsid w:val="00BF354F"/>
    <w:rsid w:val="00BF3AB6"/>
    <w:rsid w:val="00BF795B"/>
    <w:rsid w:val="00BF7CFF"/>
    <w:rsid w:val="00C00687"/>
    <w:rsid w:val="00C006F4"/>
    <w:rsid w:val="00C0158B"/>
    <w:rsid w:val="00C0181E"/>
    <w:rsid w:val="00C01B44"/>
    <w:rsid w:val="00C01E19"/>
    <w:rsid w:val="00C0240E"/>
    <w:rsid w:val="00C0274F"/>
    <w:rsid w:val="00C03AAD"/>
    <w:rsid w:val="00C04083"/>
    <w:rsid w:val="00C0498B"/>
    <w:rsid w:val="00C063B5"/>
    <w:rsid w:val="00C1107A"/>
    <w:rsid w:val="00C11274"/>
    <w:rsid w:val="00C11B30"/>
    <w:rsid w:val="00C12A62"/>
    <w:rsid w:val="00C1386F"/>
    <w:rsid w:val="00C13C74"/>
    <w:rsid w:val="00C1479B"/>
    <w:rsid w:val="00C14B2E"/>
    <w:rsid w:val="00C2112F"/>
    <w:rsid w:val="00C211FC"/>
    <w:rsid w:val="00C229C6"/>
    <w:rsid w:val="00C22F04"/>
    <w:rsid w:val="00C232E2"/>
    <w:rsid w:val="00C25DC2"/>
    <w:rsid w:val="00C275A9"/>
    <w:rsid w:val="00C3028F"/>
    <w:rsid w:val="00C31885"/>
    <w:rsid w:val="00C322E2"/>
    <w:rsid w:val="00C34A32"/>
    <w:rsid w:val="00C359DD"/>
    <w:rsid w:val="00C3613B"/>
    <w:rsid w:val="00C37060"/>
    <w:rsid w:val="00C377FB"/>
    <w:rsid w:val="00C37BE0"/>
    <w:rsid w:val="00C4034F"/>
    <w:rsid w:val="00C413D1"/>
    <w:rsid w:val="00C41698"/>
    <w:rsid w:val="00C417B3"/>
    <w:rsid w:val="00C422C4"/>
    <w:rsid w:val="00C43906"/>
    <w:rsid w:val="00C4427E"/>
    <w:rsid w:val="00C45D23"/>
    <w:rsid w:val="00C468BD"/>
    <w:rsid w:val="00C46D74"/>
    <w:rsid w:val="00C47BF2"/>
    <w:rsid w:val="00C50BFF"/>
    <w:rsid w:val="00C5110B"/>
    <w:rsid w:val="00C51A02"/>
    <w:rsid w:val="00C52B53"/>
    <w:rsid w:val="00C54FE2"/>
    <w:rsid w:val="00C56E5F"/>
    <w:rsid w:val="00C57525"/>
    <w:rsid w:val="00C6042C"/>
    <w:rsid w:val="00C625C2"/>
    <w:rsid w:val="00C634E4"/>
    <w:rsid w:val="00C65786"/>
    <w:rsid w:val="00C65F86"/>
    <w:rsid w:val="00C70624"/>
    <w:rsid w:val="00C72820"/>
    <w:rsid w:val="00C72B20"/>
    <w:rsid w:val="00C73183"/>
    <w:rsid w:val="00C73AD5"/>
    <w:rsid w:val="00C73E5C"/>
    <w:rsid w:val="00C74F68"/>
    <w:rsid w:val="00C766C7"/>
    <w:rsid w:val="00C76870"/>
    <w:rsid w:val="00C76F78"/>
    <w:rsid w:val="00C77CB0"/>
    <w:rsid w:val="00C802A2"/>
    <w:rsid w:val="00C80A5F"/>
    <w:rsid w:val="00C8337E"/>
    <w:rsid w:val="00C84A7E"/>
    <w:rsid w:val="00C9208C"/>
    <w:rsid w:val="00C92479"/>
    <w:rsid w:val="00C940FF"/>
    <w:rsid w:val="00C95FB7"/>
    <w:rsid w:val="00C96065"/>
    <w:rsid w:val="00C964CA"/>
    <w:rsid w:val="00C96A7E"/>
    <w:rsid w:val="00C973A1"/>
    <w:rsid w:val="00CA0A32"/>
    <w:rsid w:val="00CA2AD5"/>
    <w:rsid w:val="00CA35F4"/>
    <w:rsid w:val="00CA4573"/>
    <w:rsid w:val="00CA59FF"/>
    <w:rsid w:val="00CA7ADC"/>
    <w:rsid w:val="00CB131C"/>
    <w:rsid w:val="00CB2DA6"/>
    <w:rsid w:val="00CB376C"/>
    <w:rsid w:val="00CB5C7D"/>
    <w:rsid w:val="00CC1E44"/>
    <w:rsid w:val="00CC37A1"/>
    <w:rsid w:val="00CC4DA0"/>
    <w:rsid w:val="00CC4FF5"/>
    <w:rsid w:val="00CC5351"/>
    <w:rsid w:val="00CC6046"/>
    <w:rsid w:val="00CC7866"/>
    <w:rsid w:val="00CD1AC0"/>
    <w:rsid w:val="00CD309B"/>
    <w:rsid w:val="00CD3195"/>
    <w:rsid w:val="00CD319A"/>
    <w:rsid w:val="00CD3240"/>
    <w:rsid w:val="00CD3B1C"/>
    <w:rsid w:val="00CD4A7D"/>
    <w:rsid w:val="00CD5FC4"/>
    <w:rsid w:val="00CD6C72"/>
    <w:rsid w:val="00CE05BD"/>
    <w:rsid w:val="00CE0DF1"/>
    <w:rsid w:val="00CE1A25"/>
    <w:rsid w:val="00CE1B84"/>
    <w:rsid w:val="00CE37E3"/>
    <w:rsid w:val="00CE4C07"/>
    <w:rsid w:val="00CE4FD7"/>
    <w:rsid w:val="00CE7A4C"/>
    <w:rsid w:val="00CF1A51"/>
    <w:rsid w:val="00CF35D8"/>
    <w:rsid w:val="00CF3976"/>
    <w:rsid w:val="00CF3F73"/>
    <w:rsid w:val="00CF69C7"/>
    <w:rsid w:val="00CF7F8E"/>
    <w:rsid w:val="00D02CE8"/>
    <w:rsid w:val="00D03A2D"/>
    <w:rsid w:val="00D044C0"/>
    <w:rsid w:val="00D05CCF"/>
    <w:rsid w:val="00D0723E"/>
    <w:rsid w:val="00D1010D"/>
    <w:rsid w:val="00D106CC"/>
    <w:rsid w:val="00D1255F"/>
    <w:rsid w:val="00D1450E"/>
    <w:rsid w:val="00D1527B"/>
    <w:rsid w:val="00D16C04"/>
    <w:rsid w:val="00D204FB"/>
    <w:rsid w:val="00D20950"/>
    <w:rsid w:val="00D20C5C"/>
    <w:rsid w:val="00D20EE9"/>
    <w:rsid w:val="00D2242F"/>
    <w:rsid w:val="00D22747"/>
    <w:rsid w:val="00D22EA5"/>
    <w:rsid w:val="00D22EB7"/>
    <w:rsid w:val="00D22FFC"/>
    <w:rsid w:val="00D254A2"/>
    <w:rsid w:val="00D272B5"/>
    <w:rsid w:val="00D27313"/>
    <w:rsid w:val="00D27E0F"/>
    <w:rsid w:val="00D30AE4"/>
    <w:rsid w:val="00D31697"/>
    <w:rsid w:val="00D322E4"/>
    <w:rsid w:val="00D331B0"/>
    <w:rsid w:val="00D342A1"/>
    <w:rsid w:val="00D34E47"/>
    <w:rsid w:val="00D353A7"/>
    <w:rsid w:val="00D35AFF"/>
    <w:rsid w:val="00D35B49"/>
    <w:rsid w:val="00D360EC"/>
    <w:rsid w:val="00D371F7"/>
    <w:rsid w:val="00D373AD"/>
    <w:rsid w:val="00D37631"/>
    <w:rsid w:val="00D42266"/>
    <w:rsid w:val="00D423E3"/>
    <w:rsid w:val="00D42E10"/>
    <w:rsid w:val="00D42F57"/>
    <w:rsid w:val="00D4358F"/>
    <w:rsid w:val="00D4402F"/>
    <w:rsid w:val="00D4413B"/>
    <w:rsid w:val="00D44483"/>
    <w:rsid w:val="00D44831"/>
    <w:rsid w:val="00D44DF6"/>
    <w:rsid w:val="00D4584F"/>
    <w:rsid w:val="00D45C0A"/>
    <w:rsid w:val="00D46CDE"/>
    <w:rsid w:val="00D46DA0"/>
    <w:rsid w:val="00D475A9"/>
    <w:rsid w:val="00D47ED2"/>
    <w:rsid w:val="00D503C0"/>
    <w:rsid w:val="00D518BC"/>
    <w:rsid w:val="00D51D59"/>
    <w:rsid w:val="00D53B80"/>
    <w:rsid w:val="00D553EC"/>
    <w:rsid w:val="00D556BE"/>
    <w:rsid w:val="00D556FD"/>
    <w:rsid w:val="00D56D6E"/>
    <w:rsid w:val="00D570AC"/>
    <w:rsid w:val="00D572D4"/>
    <w:rsid w:val="00D57B9C"/>
    <w:rsid w:val="00D6095A"/>
    <w:rsid w:val="00D61A9E"/>
    <w:rsid w:val="00D61C6F"/>
    <w:rsid w:val="00D62217"/>
    <w:rsid w:val="00D648C4"/>
    <w:rsid w:val="00D64CD9"/>
    <w:rsid w:val="00D65D9D"/>
    <w:rsid w:val="00D66FE4"/>
    <w:rsid w:val="00D7174B"/>
    <w:rsid w:val="00D7429E"/>
    <w:rsid w:val="00D75BD5"/>
    <w:rsid w:val="00D75E33"/>
    <w:rsid w:val="00D77355"/>
    <w:rsid w:val="00D77630"/>
    <w:rsid w:val="00D83E03"/>
    <w:rsid w:val="00D83EC0"/>
    <w:rsid w:val="00D85236"/>
    <w:rsid w:val="00D8534E"/>
    <w:rsid w:val="00D85BDD"/>
    <w:rsid w:val="00D91ECB"/>
    <w:rsid w:val="00D92598"/>
    <w:rsid w:val="00D92A96"/>
    <w:rsid w:val="00D93E51"/>
    <w:rsid w:val="00D961F8"/>
    <w:rsid w:val="00D9719A"/>
    <w:rsid w:val="00D97727"/>
    <w:rsid w:val="00D978DB"/>
    <w:rsid w:val="00DA6E47"/>
    <w:rsid w:val="00DA71FA"/>
    <w:rsid w:val="00DB07BC"/>
    <w:rsid w:val="00DB0A3B"/>
    <w:rsid w:val="00DB338D"/>
    <w:rsid w:val="00DB37EF"/>
    <w:rsid w:val="00DB515D"/>
    <w:rsid w:val="00DB594A"/>
    <w:rsid w:val="00DC003E"/>
    <w:rsid w:val="00DC0C03"/>
    <w:rsid w:val="00DC10EA"/>
    <w:rsid w:val="00DC19FB"/>
    <w:rsid w:val="00DC23A1"/>
    <w:rsid w:val="00DC334C"/>
    <w:rsid w:val="00DC388D"/>
    <w:rsid w:val="00DC3D63"/>
    <w:rsid w:val="00DC4325"/>
    <w:rsid w:val="00DC4CFB"/>
    <w:rsid w:val="00DC5F1D"/>
    <w:rsid w:val="00DC6934"/>
    <w:rsid w:val="00DC73D9"/>
    <w:rsid w:val="00DD0866"/>
    <w:rsid w:val="00DD0F35"/>
    <w:rsid w:val="00DD42FE"/>
    <w:rsid w:val="00DD59C1"/>
    <w:rsid w:val="00DD63F7"/>
    <w:rsid w:val="00DD649B"/>
    <w:rsid w:val="00DD7403"/>
    <w:rsid w:val="00DD7C9D"/>
    <w:rsid w:val="00DE04C1"/>
    <w:rsid w:val="00DE18B7"/>
    <w:rsid w:val="00DE302D"/>
    <w:rsid w:val="00DE38F7"/>
    <w:rsid w:val="00DE401A"/>
    <w:rsid w:val="00DE544E"/>
    <w:rsid w:val="00DE584D"/>
    <w:rsid w:val="00DE6C92"/>
    <w:rsid w:val="00DE7F5A"/>
    <w:rsid w:val="00DF26C5"/>
    <w:rsid w:val="00DF2B9B"/>
    <w:rsid w:val="00DF3FDB"/>
    <w:rsid w:val="00DF4D18"/>
    <w:rsid w:val="00DF5BDA"/>
    <w:rsid w:val="00DF5D26"/>
    <w:rsid w:val="00DF5DE9"/>
    <w:rsid w:val="00DF7AFF"/>
    <w:rsid w:val="00DF7B56"/>
    <w:rsid w:val="00E02255"/>
    <w:rsid w:val="00E0235A"/>
    <w:rsid w:val="00E04E30"/>
    <w:rsid w:val="00E0624B"/>
    <w:rsid w:val="00E066E0"/>
    <w:rsid w:val="00E07118"/>
    <w:rsid w:val="00E072F8"/>
    <w:rsid w:val="00E07853"/>
    <w:rsid w:val="00E1026C"/>
    <w:rsid w:val="00E11001"/>
    <w:rsid w:val="00E13CBC"/>
    <w:rsid w:val="00E14A8F"/>
    <w:rsid w:val="00E152F9"/>
    <w:rsid w:val="00E1548C"/>
    <w:rsid w:val="00E155EA"/>
    <w:rsid w:val="00E17617"/>
    <w:rsid w:val="00E1773D"/>
    <w:rsid w:val="00E17B3E"/>
    <w:rsid w:val="00E202CB"/>
    <w:rsid w:val="00E219AE"/>
    <w:rsid w:val="00E21BB6"/>
    <w:rsid w:val="00E23BD9"/>
    <w:rsid w:val="00E25D20"/>
    <w:rsid w:val="00E25FF8"/>
    <w:rsid w:val="00E26AC7"/>
    <w:rsid w:val="00E274C4"/>
    <w:rsid w:val="00E30857"/>
    <w:rsid w:val="00E31304"/>
    <w:rsid w:val="00E32360"/>
    <w:rsid w:val="00E32908"/>
    <w:rsid w:val="00E362B2"/>
    <w:rsid w:val="00E37EA9"/>
    <w:rsid w:val="00E37FAF"/>
    <w:rsid w:val="00E40C6B"/>
    <w:rsid w:val="00E43175"/>
    <w:rsid w:val="00E50943"/>
    <w:rsid w:val="00E50F39"/>
    <w:rsid w:val="00E527C0"/>
    <w:rsid w:val="00E55452"/>
    <w:rsid w:val="00E56001"/>
    <w:rsid w:val="00E57544"/>
    <w:rsid w:val="00E6041E"/>
    <w:rsid w:val="00E60AF6"/>
    <w:rsid w:val="00E61A5E"/>
    <w:rsid w:val="00E61FF0"/>
    <w:rsid w:val="00E64866"/>
    <w:rsid w:val="00E6505E"/>
    <w:rsid w:val="00E66C8E"/>
    <w:rsid w:val="00E70A43"/>
    <w:rsid w:val="00E73CF6"/>
    <w:rsid w:val="00E73E92"/>
    <w:rsid w:val="00E74739"/>
    <w:rsid w:val="00E74AF7"/>
    <w:rsid w:val="00E75737"/>
    <w:rsid w:val="00E75D96"/>
    <w:rsid w:val="00E76826"/>
    <w:rsid w:val="00E77A98"/>
    <w:rsid w:val="00E77F01"/>
    <w:rsid w:val="00E8008A"/>
    <w:rsid w:val="00E80D0B"/>
    <w:rsid w:val="00E8263F"/>
    <w:rsid w:val="00E84340"/>
    <w:rsid w:val="00E860E2"/>
    <w:rsid w:val="00E863D2"/>
    <w:rsid w:val="00E903AC"/>
    <w:rsid w:val="00E94614"/>
    <w:rsid w:val="00E94912"/>
    <w:rsid w:val="00E94B45"/>
    <w:rsid w:val="00E958E1"/>
    <w:rsid w:val="00E96051"/>
    <w:rsid w:val="00E974DC"/>
    <w:rsid w:val="00E97D38"/>
    <w:rsid w:val="00EA1473"/>
    <w:rsid w:val="00EA18C2"/>
    <w:rsid w:val="00EA1EDB"/>
    <w:rsid w:val="00EA26B2"/>
    <w:rsid w:val="00EA4723"/>
    <w:rsid w:val="00EA47C0"/>
    <w:rsid w:val="00EA5150"/>
    <w:rsid w:val="00EA69B1"/>
    <w:rsid w:val="00EA6FC9"/>
    <w:rsid w:val="00EB0AD5"/>
    <w:rsid w:val="00EB11FE"/>
    <w:rsid w:val="00EB1730"/>
    <w:rsid w:val="00EB1D30"/>
    <w:rsid w:val="00EB1D76"/>
    <w:rsid w:val="00EB2B29"/>
    <w:rsid w:val="00EB37E5"/>
    <w:rsid w:val="00EB5774"/>
    <w:rsid w:val="00EB716C"/>
    <w:rsid w:val="00EB7174"/>
    <w:rsid w:val="00EB7477"/>
    <w:rsid w:val="00EB7C90"/>
    <w:rsid w:val="00EC1BD1"/>
    <w:rsid w:val="00EC2B2C"/>
    <w:rsid w:val="00EC69BC"/>
    <w:rsid w:val="00EC6B56"/>
    <w:rsid w:val="00ED04AF"/>
    <w:rsid w:val="00ED244B"/>
    <w:rsid w:val="00ED27FE"/>
    <w:rsid w:val="00ED2A30"/>
    <w:rsid w:val="00ED3C39"/>
    <w:rsid w:val="00ED715A"/>
    <w:rsid w:val="00EE1B7C"/>
    <w:rsid w:val="00EE21BE"/>
    <w:rsid w:val="00EE4F85"/>
    <w:rsid w:val="00EE61A2"/>
    <w:rsid w:val="00EF095A"/>
    <w:rsid w:val="00EF142D"/>
    <w:rsid w:val="00EF39DC"/>
    <w:rsid w:val="00EF39FC"/>
    <w:rsid w:val="00EF47C6"/>
    <w:rsid w:val="00EF4D43"/>
    <w:rsid w:val="00EF6888"/>
    <w:rsid w:val="00EF7E79"/>
    <w:rsid w:val="00F00A09"/>
    <w:rsid w:val="00F00DE0"/>
    <w:rsid w:val="00F01588"/>
    <w:rsid w:val="00F02002"/>
    <w:rsid w:val="00F02EDF"/>
    <w:rsid w:val="00F0304E"/>
    <w:rsid w:val="00F0454A"/>
    <w:rsid w:val="00F04673"/>
    <w:rsid w:val="00F04E31"/>
    <w:rsid w:val="00F05EFA"/>
    <w:rsid w:val="00F07165"/>
    <w:rsid w:val="00F10497"/>
    <w:rsid w:val="00F111D9"/>
    <w:rsid w:val="00F11504"/>
    <w:rsid w:val="00F11A49"/>
    <w:rsid w:val="00F11C46"/>
    <w:rsid w:val="00F11C7A"/>
    <w:rsid w:val="00F1283B"/>
    <w:rsid w:val="00F154B8"/>
    <w:rsid w:val="00F20027"/>
    <w:rsid w:val="00F206E4"/>
    <w:rsid w:val="00F23EF7"/>
    <w:rsid w:val="00F30BED"/>
    <w:rsid w:val="00F31815"/>
    <w:rsid w:val="00F3326C"/>
    <w:rsid w:val="00F3398B"/>
    <w:rsid w:val="00F33EC3"/>
    <w:rsid w:val="00F357F3"/>
    <w:rsid w:val="00F35CB5"/>
    <w:rsid w:val="00F36AEA"/>
    <w:rsid w:val="00F40E73"/>
    <w:rsid w:val="00F43ADB"/>
    <w:rsid w:val="00F46494"/>
    <w:rsid w:val="00F47F22"/>
    <w:rsid w:val="00F5031A"/>
    <w:rsid w:val="00F50A32"/>
    <w:rsid w:val="00F5113D"/>
    <w:rsid w:val="00F51BFF"/>
    <w:rsid w:val="00F53805"/>
    <w:rsid w:val="00F549CC"/>
    <w:rsid w:val="00F573F5"/>
    <w:rsid w:val="00F64991"/>
    <w:rsid w:val="00F7086E"/>
    <w:rsid w:val="00F708DD"/>
    <w:rsid w:val="00F713B3"/>
    <w:rsid w:val="00F71BDD"/>
    <w:rsid w:val="00F72169"/>
    <w:rsid w:val="00F749D7"/>
    <w:rsid w:val="00F76465"/>
    <w:rsid w:val="00F76BE0"/>
    <w:rsid w:val="00F76CD3"/>
    <w:rsid w:val="00F774CA"/>
    <w:rsid w:val="00F777D9"/>
    <w:rsid w:val="00F842CC"/>
    <w:rsid w:val="00F916B1"/>
    <w:rsid w:val="00F93044"/>
    <w:rsid w:val="00F93E70"/>
    <w:rsid w:val="00F97B53"/>
    <w:rsid w:val="00FA101D"/>
    <w:rsid w:val="00FA2E63"/>
    <w:rsid w:val="00FA33EF"/>
    <w:rsid w:val="00FA614E"/>
    <w:rsid w:val="00FA7178"/>
    <w:rsid w:val="00FA741A"/>
    <w:rsid w:val="00FA7919"/>
    <w:rsid w:val="00FB12D2"/>
    <w:rsid w:val="00FB2A41"/>
    <w:rsid w:val="00FB3420"/>
    <w:rsid w:val="00FB5B3D"/>
    <w:rsid w:val="00FB6E64"/>
    <w:rsid w:val="00FB71BC"/>
    <w:rsid w:val="00FB78D3"/>
    <w:rsid w:val="00FB79D2"/>
    <w:rsid w:val="00FC01A6"/>
    <w:rsid w:val="00FC106A"/>
    <w:rsid w:val="00FC2D0C"/>
    <w:rsid w:val="00FC361D"/>
    <w:rsid w:val="00FC506C"/>
    <w:rsid w:val="00FC56E2"/>
    <w:rsid w:val="00FC5C4D"/>
    <w:rsid w:val="00FC5F28"/>
    <w:rsid w:val="00FC78B9"/>
    <w:rsid w:val="00FD025C"/>
    <w:rsid w:val="00FD04A7"/>
    <w:rsid w:val="00FD122B"/>
    <w:rsid w:val="00FD1E12"/>
    <w:rsid w:val="00FD1ED2"/>
    <w:rsid w:val="00FD22B3"/>
    <w:rsid w:val="00FD2E93"/>
    <w:rsid w:val="00FD3EAF"/>
    <w:rsid w:val="00FD68E5"/>
    <w:rsid w:val="00FE1066"/>
    <w:rsid w:val="00FE14F8"/>
    <w:rsid w:val="00FE36B1"/>
    <w:rsid w:val="00FE4E73"/>
    <w:rsid w:val="00FE539C"/>
    <w:rsid w:val="00FE54C7"/>
    <w:rsid w:val="00FE5B53"/>
    <w:rsid w:val="00FE6018"/>
    <w:rsid w:val="00FE77E2"/>
    <w:rsid w:val="00FF01A9"/>
    <w:rsid w:val="00FF059F"/>
    <w:rsid w:val="00FF1FB0"/>
    <w:rsid w:val="00FF25B5"/>
    <w:rsid w:val="00FF2646"/>
    <w:rsid w:val="00FF3753"/>
    <w:rsid w:val="00FF47C7"/>
    <w:rsid w:val="00FF52F2"/>
    <w:rsid w:val="00FF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2E65"/>
  <w15:docId w15:val="{69E1FDF6-83A5-4B78-B2C6-210CD940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644"/>
    <w:rPr>
      <w:rFonts w:ascii="Franklin Gothic Book" w:hAnsi="Franklin Gothic Book"/>
      <w:color w:val="404040" w:themeColor="text1" w:themeTint="BF"/>
    </w:rPr>
  </w:style>
  <w:style w:type="paragraph" w:styleId="Heading1">
    <w:name w:val="heading 1"/>
    <w:basedOn w:val="Normal"/>
    <w:next w:val="Normal"/>
    <w:link w:val="Heading1Char"/>
    <w:qFormat/>
    <w:rsid w:val="005F2C05"/>
    <w:pPr>
      <w:keepNext/>
      <w:tabs>
        <w:tab w:val="num" w:pos="0"/>
      </w:tabs>
      <w:suppressAutoHyphens/>
      <w:spacing w:after="0" w:line="240" w:lineRule="auto"/>
      <w:outlineLvl w:val="0"/>
    </w:pPr>
    <w:rPr>
      <w:rFonts w:eastAsia="Times New Roman" w:cs="Times New Roman"/>
      <w:color w:val="941F64"/>
      <w:sz w:val="32"/>
      <w:szCs w:val="20"/>
      <w:lang w:eastAsia="en-GB"/>
    </w:rPr>
  </w:style>
  <w:style w:type="paragraph" w:styleId="Heading2">
    <w:name w:val="heading 2"/>
    <w:basedOn w:val="Heading3"/>
    <w:next w:val="Normal"/>
    <w:link w:val="Heading2Char"/>
    <w:unhideWhenUsed/>
    <w:qFormat/>
    <w:rsid w:val="00A016E4"/>
    <w:pPr>
      <w:outlineLvl w:val="1"/>
    </w:pPr>
    <w:rPr>
      <w:sz w:val="28"/>
    </w:rPr>
  </w:style>
  <w:style w:type="paragraph" w:styleId="Heading3">
    <w:name w:val="heading 3"/>
    <w:basedOn w:val="BodyText3"/>
    <w:next w:val="Normal"/>
    <w:link w:val="Heading3Char"/>
    <w:unhideWhenUsed/>
    <w:qFormat/>
    <w:rsid w:val="00A016E4"/>
    <w:pPr>
      <w:tabs>
        <w:tab w:val="num" w:pos="0"/>
      </w:tabs>
      <w:spacing w:line="260" w:lineRule="exact"/>
      <w:ind w:right="-34"/>
      <w:outlineLvl w:val="2"/>
    </w:pPr>
    <w:rPr>
      <w:rFonts w:ascii="Franklin Gothic Book" w:hAnsi="Franklin Gothic Book"/>
      <w:color w:val="941F64"/>
      <w:sz w:val="24"/>
    </w:rPr>
  </w:style>
  <w:style w:type="paragraph" w:styleId="Heading4">
    <w:name w:val="heading 4"/>
    <w:basedOn w:val="Normal"/>
    <w:next w:val="Normal"/>
    <w:link w:val="Heading4Char"/>
    <w:unhideWhenUsed/>
    <w:qFormat/>
    <w:rsid w:val="005F2C05"/>
    <w:pPr>
      <w:tabs>
        <w:tab w:val="num" w:pos="0"/>
      </w:tabs>
      <w:suppressAutoHyphens/>
      <w:spacing w:after="0" w:line="260" w:lineRule="exact"/>
      <w:ind w:firstLine="720"/>
      <w:jc w:val="both"/>
      <w:outlineLvl w:val="3"/>
    </w:pPr>
    <w:rPr>
      <w:rFonts w:eastAsia="Times New Roman" w:cs="Times New Roman"/>
      <w:i/>
      <w:color w:val="941F64"/>
      <w:szCs w:val="20"/>
      <w:lang w:eastAsia="en-GB"/>
    </w:rPr>
  </w:style>
  <w:style w:type="paragraph" w:styleId="Heading5">
    <w:name w:val="heading 5"/>
    <w:basedOn w:val="Normal"/>
    <w:next w:val="Normal"/>
    <w:link w:val="Heading5Char"/>
    <w:semiHidden/>
    <w:unhideWhenUsed/>
    <w:qFormat/>
    <w:rsid w:val="009C036D"/>
    <w:pPr>
      <w:keepNext/>
      <w:tabs>
        <w:tab w:val="num" w:pos="0"/>
      </w:tabs>
      <w:suppressAutoHyphens/>
      <w:spacing w:after="0" w:line="240" w:lineRule="auto"/>
      <w:jc w:val="both"/>
      <w:outlineLvl w:val="4"/>
    </w:pPr>
    <w:rPr>
      <w:rFonts w:ascii="Arial" w:eastAsia="Times New Roman" w:hAnsi="Arial" w:cs="Times New Roman"/>
      <w:b/>
      <w:sz w:val="32"/>
      <w:szCs w:val="20"/>
      <w:lang w:eastAsia="en-GB"/>
    </w:rPr>
  </w:style>
  <w:style w:type="paragraph" w:styleId="Heading6">
    <w:name w:val="heading 6"/>
    <w:basedOn w:val="Normal"/>
    <w:next w:val="Normal"/>
    <w:link w:val="Heading6Char"/>
    <w:semiHidden/>
    <w:unhideWhenUsed/>
    <w:qFormat/>
    <w:rsid w:val="009C036D"/>
    <w:pPr>
      <w:keepNext/>
      <w:tabs>
        <w:tab w:val="num" w:pos="0"/>
      </w:tabs>
      <w:suppressAutoHyphens/>
      <w:spacing w:after="0" w:line="240" w:lineRule="auto"/>
      <w:jc w:val="right"/>
      <w:outlineLvl w:val="5"/>
    </w:pPr>
    <w:rPr>
      <w:rFonts w:ascii="Arial" w:eastAsia="Times New Roman" w:hAnsi="Arial" w:cs="Times New Roman"/>
      <w:b/>
      <w:color w:val="000000"/>
      <w:sz w:val="18"/>
      <w:szCs w:val="20"/>
      <w:lang w:eastAsia="en-GB"/>
    </w:rPr>
  </w:style>
  <w:style w:type="paragraph" w:styleId="Heading7">
    <w:name w:val="heading 7"/>
    <w:basedOn w:val="Normal"/>
    <w:next w:val="Normal"/>
    <w:link w:val="Heading7Char"/>
    <w:uiPriority w:val="99"/>
    <w:semiHidden/>
    <w:unhideWhenUsed/>
    <w:qFormat/>
    <w:rsid w:val="009C036D"/>
    <w:pPr>
      <w:keepNext/>
      <w:tabs>
        <w:tab w:val="num" w:pos="0"/>
      </w:tabs>
      <w:suppressAutoHyphens/>
      <w:spacing w:after="0" w:line="240" w:lineRule="auto"/>
      <w:jc w:val="center"/>
      <w:outlineLvl w:val="6"/>
    </w:pPr>
    <w:rPr>
      <w:rFonts w:ascii="Arial" w:eastAsia="Times New Roman" w:hAnsi="Arial" w:cs="Times New Roman"/>
      <w:b/>
      <w:sz w:val="20"/>
      <w:szCs w:val="20"/>
      <w:lang w:eastAsia="en-GB"/>
    </w:rPr>
  </w:style>
  <w:style w:type="paragraph" w:styleId="Heading8">
    <w:name w:val="heading 8"/>
    <w:basedOn w:val="Normal"/>
    <w:next w:val="Normal"/>
    <w:link w:val="Heading8Char"/>
    <w:uiPriority w:val="99"/>
    <w:semiHidden/>
    <w:unhideWhenUsed/>
    <w:qFormat/>
    <w:rsid w:val="009C036D"/>
    <w:pPr>
      <w:suppressAutoHyphens/>
      <w:spacing w:before="240" w:after="60" w:line="240" w:lineRule="auto"/>
      <w:outlineLvl w:val="7"/>
    </w:pPr>
    <w:rPr>
      <w:rFonts w:ascii="Arial" w:eastAsia="Times New Roman" w:hAnsi="Arial" w:cs="Times New Roman"/>
      <w:i/>
      <w:iCs/>
      <w:sz w:val="24"/>
      <w:szCs w:val="24"/>
      <w:lang w:eastAsia="en-GB"/>
    </w:rPr>
  </w:style>
  <w:style w:type="paragraph" w:styleId="Heading9">
    <w:name w:val="heading 9"/>
    <w:basedOn w:val="Normal"/>
    <w:next w:val="Normal"/>
    <w:link w:val="Heading9Char"/>
    <w:uiPriority w:val="99"/>
    <w:semiHidden/>
    <w:unhideWhenUsed/>
    <w:qFormat/>
    <w:rsid w:val="009C036D"/>
    <w:pPr>
      <w:keepNext/>
      <w:tabs>
        <w:tab w:val="num" w:pos="0"/>
        <w:tab w:val="right" w:pos="1427"/>
      </w:tabs>
      <w:suppressAutoHyphens/>
      <w:spacing w:after="0" w:line="240" w:lineRule="auto"/>
      <w:ind w:right="-17"/>
      <w:jc w:val="both"/>
      <w:outlineLvl w:val="8"/>
    </w:pPr>
    <w:rPr>
      <w:rFonts w:ascii="Arial" w:eastAsia="Times New Roman" w:hAnsi="Arial" w:cs="Times New Roman"/>
      <w:i/>
      <w:sz w:val="2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uiPriority w:val="99"/>
    <w:semiHidden/>
    <w:unhideWhenUsed/>
    <w:rsid w:val="009C036D"/>
    <w:pPr>
      <w:tabs>
        <w:tab w:val="right" w:pos="9071"/>
      </w:tabs>
      <w:suppressAutoHyphens/>
      <w:spacing w:after="0" w:line="240" w:lineRule="auto"/>
      <w:ind w:right="1355"/>
      <w:jc w:val="both"/>
    </w:pPr>
    <w:rPr>
      <w:rFonts w:ascii="Times New Roman" w:eastAsia="Times New Roman" w:hAnsi="Times New Roman" w:cs="Times New Roman"/>
      <w:szCs w:val="20"/>
      <w:lang w:eastAsia="en-GB"/>
    </w:rPr>
  </w:style>
  <w:style w:type="character" w:customStyle="1" w:styleId="BodyText3Char1">
    <w:name w:val="Body Text 3 Char1"/>
    <w:basedOn w:val="DefaultParagraphFont"/>
    <w:link w:val="BodyText3"/>
    <w:uiPriority w:val="99"/>
    <w:semiHidden/>
    <w:locked/>
    <w:rsid w:val="009C036D"/>
    <w:rPr>
      <w:rFonts w:ascii="Times New Roman" w:eastAsia="Times New Roman" w:hAnsi="Times New Roman" w:cs="Times New Roman"/>
      <w:szCs w:val="20"/>
      <w:lang w:eastAsia="en-GB"/>
    </w:rPr>
  </w:style>
  <w:style w:type="character" w:customStyle="1" w:styleId="Heading3Char">
    <w:name w:val="Heading 3 Char"/>
    <w:basedOn w:val="DefaultParagraphFont"/>
    <w:link w:val="Heading3"/>
    <w:rsid w:val="00A016E4"/>
    <w:rPr>
      <w:rFonts w:ascii="Franklin Gothic Book" w:eastAsia="Times New Roman" w:hAnsi="Franklin Gothic Book" w:cs="Times New Roman"/>
      <w:color w:val="941F64"/>
      <w:sz w:val="24"/>
      <w:szCs w:val="20"/>
      <w:lang w:eastAsia="en-GB"/>
    </w:rPr>
  </w:style>
  <w:style w:type="character" w:customStyle="1" w:styleId="Heading2Char">
    <w:name w:val="Heading 2 Char"/>
    <w:basedOn w:val="DefaultParagraphFont"/>
    <w:link w:val="Heading2"/>
    <w:rsid w:val="00A016E4"/>
    <w:rPr>
      <w:rFonts w:ascii="Franklin Gothic Book" w:eastAsia="Times New Roman" w:hAnsi="Franklin Gothic Book" w:cs="Times New Roman"/>
      <w:color w:val="941F64"/>
      <w:sz w:val="28"/>
      <w:szCs w:val="20"/>
      <w:lang w:eastAsia="en-GB"/>
    </w:rPr>
  </w:style>
  <w:style w:type="paragraph" w:styleId="Title">
    <w:name w:val="Title"/>
    <w:basedOn w:val="Normal"/>
    <w:link w:val="TitleChar"/>
    <w:uiPriority w:val="99"/>
    <w:qFormat/>
    <w:rsid w:val="000047EA"/>
    <w:pPr>
      <w:spacing w:after="240" w:line="240" w:lineRule="auto"/>
      <w:jc w:val="center"/>
    </w:pPr>
    <w:rPr>
      <w:rFonts w:ascii="Arial (W1)" w:eastAsia="Times New Roman" w:hAnsi="Arial (W1)" w:cs="Times New Roman"/>
      <w:b/>
      <w:sz w:val="24"/>
      <w:szCs w:val="20"/>
    </w:rPr>
  </w:style>
  <w:style w:type="character" w:customStyle="1" w:styleId="TitleChar">
    <w:name w:val="Title Char"/>
    <w:basedOn w:val="DefaultParagraphFont"/>
    <w:link w:val="Title"/>
    <w:uiPriority w:val="99"/>
    <w:rsid w:val="000047EA"/>
    <w:rPr>
      <w:rFonts w:ascii="Arial (W1)" w:eastAsia="Times New Roman" w:hAnsi="Arial (W1)" w:cs="Times New Roman"/>
      <w:b/>
      <w:sz w:val="24"/>
      <w:szCs w:val="20"/>
    </w:rPr>
  </w:style>
  <w:style w:type="paragraph" w:customStyle="1" w:styleId="Body">
    <w:name w:val="Body"/>
    <w:basedOn w:val="Normal"/>
    <w:rsid w:val="000047EA"/>
    <w:pPr>
      <w:widowControl w:val="0"/>
      <w:tabs>
        <w:tab w:val="left" w:pos="851"/>
        <w:tab w:val="left" w:pos="1843"/>
        <w:tab w:val="left" w:pos="3119"/>
        <w:tab w:val="left" w:pos="4253"/>
      </w:tabs>
      <w:adjustRightInd w:val="0"/>
      <w:spacing w:after="240" w:line="312" w:lineRule="auto"/>
      <w:jc w:val="both"/>
    </w:pPr>
    <w:rPr>
      <w:rFonts w:ascii="Arial" w:eastAsia="Times New Roman" w:hAnsi="Arial" w:cs="Times New Roman"/>
      <w:sz w:val="24"/>
      <w:szCs w:val="20"/>
      <w:lang w:eastAsia="en-GB"/>
    </w:rPr>
  </w:style>
  <w:style w:type="character" w:customStyle="1" w:styleId="Heading1Char">
    <w:name w:val="Heading 1 Char"/>
    <w:basedOn w:val="DefaultParagraphFont"/>
    <w:link w:val="Heading1"/>
    <w:rsid w:val="005F2C05"/>
    <w:rPr>
      <w:rFonts w:ascii="Franklin Gothic Book" w:eastAsia="Times New Roman" w:hAnsi="Franklin Gothic Book" w:cs="Times New Roman"/>
      <w:color w:val="941F64"/>
      <w:sz w:val="32"/>
      <w:szCs w:val="20"/>
      <w:lang w:eastAsia="en-GB"/>
    </w:rPr>
  </w:style>
  <w:style w:type="character" w:customStyle="1" w:styleId="Heading4Char">
    <w:name w:val="Heading 4 Char"/>
    <w:basedOn w:val="DefaultParagraphFont"/>
    <w:link w:val="Heading4"/>
    <w:rsid w:val="005F2C05"/>
    <w:rPr>
      <w:rFonts w:ascii="Franklin Gothic Book" w:eastAsia="Times New Roman" w:hAnsi="Franklin Gothic Book" w:cs="Times New Roman"/>
      <w:i/>
      <w:color w:val="941F64"/>
      <w:szCs w:val="20"/>
      <w:lang w:eastAsia="en-GB"/>
    </w:rPr>
  </w:style>
  <w:style w:type="character" w:customStyle="1" w:styleId="Heading5Char">
    <w:name w:val="Heading 5 Char"/>
    <w:basedOn w:val="DefaultParagraphFont"/>
    <w:link w:val="Heading5"/>
    <w:semiHidden/>
    <w:rsid w:val="009C036D"/>
    <w:rPr>
      <w:rFonts w:ascii="Arial" w:eastAsia="Times New Roman" w:hAnsi="Arial" w:cs="Times New Roman"/>
      <w:b/>
      <w:sz w:val="32"/>
      <w:szCs w:val="20"/>
      <w:lang w:eastAsia="en-GB"/>
    </w:rPr>
  </w:style>
  <w:style w:type="character" w:customStyle="1" w:styleId="Heading6Char">
    <w:name w:val="Heading 6 Char"/>
    <w:basedOn w:val="DefaultParagraphFont"/>
    <w:link w:val="Heading6"/>
    <w:semiHidden/>
    <w:rsid w:val="009C036D"/>
    <w:rPr>
      <w:rFonts w:ascii="Arial" w:eastAsia="Times New Roman" w:hAnsi="Arial" w:cs="Times New Roman"/>
      <w:b/>
      <w:color w:val="000000"/>
      <w:sz w:val="18"/>
      <w:szCs w:val="20"/>
      <w:lang w:eastAsia="en-GB"/>
    </w:rPr>
  </w:style>
  <w:style w:type="character" w:customStyle="1" w:styleId="Heading7Char">
    <w:name w:val="Heading 7 Char"/>
    <w:basedOn w:val="DefaultParagraphFont"/>
    <w:link w:val="Heading7"/>
    <w:uiPriority w:val="99"/>
    <w:semiHidden/>
    <w:rsid w:val="009C036D"/>
    <w:rPr>
      <w:rFonts w:ascii="Arial" w:eastAsia="Times New Roman" w:hAnsi="Arial" w:cs="Times New Roman"/>
      <w:b/>
      <w:sz w:val="20"/>
      <w:szCs w:val="20"/>
      <w:lang w:eastAsia="en-GB"/>
    </w:rPr>
  </w:style>
  <w:style w:type="character" w:customStyle="1" w:styleId="Heading8Char">
    <w:name w:val="Heading 8 Char"/>
    <w:basedOn w:val="DefaultParagraphFont"/>
    <w:link w:val="Heading8"/>
    <w:uiPriority w:val="99"/>
    <w:semiHidden/>
    <w:rsid w:val="009C036D"/>
    <w:rPr>
      <w:rFonts w:ascii="Arial" w:eastAsia="Times New Roman" w:hAnsi="Arial" w:cs="Times New Roman"/>
      <w:i/>
      <w:iCs/>
      <w:sz w:val="24"/>
      <w:szCs w:val="24"/>
      <w:lang w:eastAsia="en-GB"/>
    </w:rPr>
  </w:style>
  <w:style w:type="character" w:customStyle="1" w:styleId="Heading9Char">
    <w:name w:val="Heading 9 Char"/>
    <w:basedOn w:val="DefaultParagraphFont"/>
    <w:link w:val="Heading9"/>
    <w:uiPriority w:val="99"/>
    <w:semiHidden/>
    <w:rsid w:val="009C036D"/>
    <w:rPr>
      <w:rFonts w:ascii="Arial" w:eastAsia="Times New Roman" w:hAnsi="Arial" w:cs="Times New Roman"/>
      <w:i/>
      <w:sz w:val="26"/>
      <w:szCs w:val="20"/>
      <w:lang w:eastAsia="en-GB"/>
    </w:rPr>
  </w:style>
  <w:style w:type="character" w:customStyle="1" w:styleId="HTMLAddressChar">
    <w:name w:val="HTML Address Char"/>
    <w:basedOn w:val="DefaultParagraphFont"/>
    <w:link w:val="HTMLAddress"/>
    <w:semiHidden/>
    <w:rsid w:val="009C036D"/>
    <w:rPr>
      <w:rFonts w:ascii="Arial" w:eastAsia="Times New Roman" w:hAnsi="Arial" w:cs="Times New Roman"/>
      <w:i/>
      <w:iCs/>
      <w:sz w:val="20"/>
      <w:szCs w:val="20"/>
      <w:lang w:eastAsia="en-GB"/>
    </w:rPr>
  </w:style>
  <w:style w:type="paragraph" w:styleId="HTMLAddress">
    <w:name w:val="HTML Address"/>
    <w:basedOn w:val="Normal"/>
    <w:link w:val="HTMLAddressChar"/>
    <w:semiHidden/>
    <w:unhideWhenUsed/>
    <w:rsid w:val="009C036D"/>
    <w:pPr>
      <w:suppressAutoHyphens/>
      <w:spacing w:after="0" w:line="240" w:lineRule="auto"/>
    </w:pPr>
    <w:rPr>
      <w:rFonts w:ascii="Arial" w:eastAsia="Times New Roman" w:hAnsi="Arial" w:cs="Times New Roman"/>
      <w:i/>
      <w:iCs/>
      <w:sz w:val="20"/>
      <w:szCs w:val="20"/>
      <w:lang w:eastAsia="en-GB"/>
    </w:rPr>
  </w:style>
  <w:style w:type="character" w:customStyle="1" w:styleId="BodyText3Char">
    <w:name w:val="Body Text 3 Char"/>
    <w:basedOn w:val="DefaultParagraphFont"/>
    <w:semiHidden/>
    <w:rsid w:val="009C036D"/>
    <w:rPr>
      <w:sz w:val="16"/>
      <w:szCs w:val="16"/>
    </w:rPr>
  </w:style>
  <w:style w:type="character" w:customStyle="1" w:styleId="HTMLPreformattedChar">
    <w:name w:val="HTML Preformatted Char"/>
    <w:basedOn w:val="DefaultParagraphFont"/>
    <w:link w:val="HTMLPreformatted"/>
    <w:semiHidden/>
    <w:rsid w:val="009C036D"/>
    <w:rPr>
      <w:rFonts w:ascii="Courier New" w:eastAsia="Times New Roman" w:hAnsi="Courier New" w:cs="AGaramond-Italic"/>
      <w:sz w:val="20"/>
      <w:szCs w:val="20"/>
      <w:lang w:eastAsia="en-GB"/>
    </w:rPr>
  </w:style>
  <w:style w:type="paragraph" w:styleId="HTMLPreformatted">
    <w:name w:val="HTML Preformatted"/>
    <w:basedOn w:val="Normal"/>
    <w:link w:val="HTMLPreformattedChar"/>
    <w:semiHidden/>
    <w:unhideWhenUsed/>
    <w:rsid w:val="009C0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AGaramond-Italic"/>
      <w:sz w:val="20"/>
      <w:szCs w:val="20"/>
      <w:lang w:eastAsia="en-GB"/>
    </w:rPr>
  </w:style>
  <w:style w:type="character" w:customStyle="1" w:styleId="FootnoteTextChar">
    <w:name w:val="Footnote Text Char"/>
    <w:basedOn w:val="DefaultParagraphFont"/>
    <w:link w:val="FootnoteText"/>
    <w:uiPriority w:val="99"/>
    <w:rsid w:val="009C036D"/>
    <w:rPr>
      <w:rFonts w:ascii="Arial" w:eastAsia="Times New Roman" w:hAnsi="Arial" w:cs="Times New Roman"/>
      <w:sz w:val="20"/>
      <w:szCs w:val="20"/>
      <w:lang w:eastAsia="en-GB"/>
    </w:rPr>
  </w:style>
  <w:style w:type="paragraph" w:styleId="FootnoteText">
    <w:name w:val="footnote text"/>
    <w:basedOn w:val="Normal"/>
    <w:link w:val="FootnoteTextChar"/>
    <w:uiPriority w:val="99"/>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9C036D"/>
    <w:rPr>
      <w:rFonts w:ascii="Arial" w:eastAsia="Times New Roman" w:hAnsi="Arial" w:cs="Times New Roman"/>
      <w:sz w:val="20"/>
      <w:szCs w:val="20"/>
      <w:lang w:eastAsia="en-GB"/>
    </w:rPr>
  </w:style>
  <w:style w:type="paragraph" w:styleId="CommentText">
    <w:name w:val="annotation text"/>
    <w:basedOn w:val="Normal"/>
    <w:link w:val="CommentTextChar"/>
    <w:uiPriority w:val="99"/>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HeaderChar">
    <w:name w:val="Header Char"/>
    <w:basedOn w:val="DefaultParagraphFont"/>
    <w:link w:val="Header"/>
    <w:uiPriority w:val="99"/>
    <w:rsid w:val="009C036D"/>
    <w:rPr>
      <w:rFonts w:ascii="Arial" w:eastAsia="Times New Roman" w:hAnsi="Arial" w:cs="Times New Roman"/>
      <w:sz w:val="20"/>
      <w:szCs w:val="20"/>
      <w:lang w:eastAsia="en-GB"/>
    </w:rPr>
  </w:style>
  <w:style w:type="paragraph" w:styleId="Header">
    <w:name w:val="header"/>
    <w:basedOn w:val="Normal"/>
    <w:link w:val="HeaderChar"/>
    <w:uiPriority w:val="99"/>
    <w:unhideWhenUsed/>
    <w:rsid w:val="009C036D"/>
    <w:pPr>
      <w:tabs>
        <w:tab w:val="center" w:pos="4320"/>
        <w:tab w:val="right" w:pos="8640"/>
      </w:tabs>
      <w:suppressAutoHyphens/>
      <w:spacing w:after="0" w:line="240" w:lineRule="auto"/>
    </w:pPr>
    <w:rPr>
      <w:rFonts w:ascii="Arial" w:eastAsia="Times New Roman" w:hAnsi="Arial" w:cs="Times New Roman"/>
      <w:sz w:val="20"/>
      <w:szCs w:val="20"/>
      <w:lang w:eastAsia="en-GB"/>
    </w:rPr>
  </w:style>
  <w:style w:type="character" w:customStyle="1" w:styleId="FooterChar">
    <w:name w:val="Footer Char"/>
    <w:basedOn w:val="DefaultParagraphFont"/>
    <w:link w:val="Footer"/>
    <w:uiPriority w:val="99"/>
    <w:rsid w:val="009C036D"/>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9C036D"/>
    <w:pPr>
      <w:tabs>
        <w:tab w:val="center" w:pos="4320"/>
        <w:tab w:val="right" w:pos="8640"/>
      </w:tabs>
      <w:suppressAutoHyphens/>
      <w:spacing w:after="0" w:line="240" w:lineRule="auto"/>
    </w:pPr>
    <w:rPr>
      <w:rFonts w:ascii="Arial" w:eastAsia="Times New Roman" w:hAnsi="Arial" w:cs="Times New Roman"/>
      <w:sz w:val="20"/>
      <w:szCs w:val="20"/>
      <w:lang w:eastAsia="en-GB"/>
    </w:rPr>
  </w:style>
  <w:style w:type="character" w:customStyle="1" w:styleId="TableofFiguresChar">
    <w:name w:val="Table of Figures Char"/>
    <w:aliases w:val="TABLE Char"/>
    <w:link w:val="TableofFigures"/>
    <w:uiPriority w:val="99"/>
    <w:semiHidden/>
    <w:locked/>
    <w:rsid w:val="009C036D"/>
    <w:rPr>
      <w:rFonts w:ascii="Arial" w:hAnsi="Arial" w:cs="Arial"/>
    </w:rPr>
  </w:style>
  <w:style w:type="paragraph" w:styleId="TableofFigures">
    <w:name w:val="table of figures"/>
    <w:aliases w:val="TABLE"/>
    <w:basedOn w:val="Normal"/>
    <w:next w:val="Normal"/>
    <w:link w:val="TableofFiguresChar"/>
    <w:uiPriority w:val="99"/>
    <w:unhideWhenUsed/>
    <w:rsid w:val="009C036D"/>
    <w:pPr>
      <w:suppressAutoHyphens/>
      <w:spacing w:before="120" w:after="120" w:line="240" w:lineRule="auto"/>
      <w:ind w:left="992" w:right="249" w:hanging="992"/>
    </w:pPr>
    <w:rPr>
      <w:rFonts w:ascii="Arial" w:hAnsi="Arial" w:cs="Arial"/>
    </w:rPr>
  </w:style>
  <w:style w:type="character" w:customStyle="1" w:styleId="EndnoteTextChar">
    <w:name w:val="Endnote Text Char"/>
    <w:basedOn w:val="DefaultParagraphFont"/>
    <w:link w:val="EndnoteText"/>
    <w:uiPriority w:val="99"/>
    <w:semiHidden/>
    <w:rsid w:val="009C036D"/>
    <w:rPr>
      <w:rFonts w:ascii="Arial" w:eastAsia="Times New Roman" w:hAnsi="Arial" w:cs="Times New Roman"/>
      <w:sz w:val="20"/>
      <w:szCs w:val="20"/>
      <w:lang w:eastAsia="en-GB"/>
    </w:rPr>
  </w:style>
  <w:style w:type="paragraph" w:styleId="EndnoteText">
    <w:name w:val="endnote text"/>
    <w:basedOn w:val="Normal"/>
    <w:link w:val="EndnoteText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MacroTextChar">
    <w:name w:val="Macro Text Char"/>
    <w:basedOn w:val="DefaultParagraphFont"/>
    <w:link w:val="MacroText"/>
    <w:uiPriority w:val="99"/>
    <w:semiHidden/>
    <w:rsid w:val="009C036D"/>
    <w:rPr>
      <w:rFonts w:ascii="Courier New" w:eastAsia="Arial" w:hAnsi="Courier New" w:cs="AGaramond-Italic"/>
      <w:sz w:val="20"/>
      <w:szCs w:val="20"/>
      <w:lang w:val="en-US" w:eastAsia="en-GB"/>
    </w:rPr>
  </w:style>
  <w:style w:type="paragraph" w:styleId="MacroText">
    <w:name w:val="macro"/>
    <w:link w:val="MacroTextChar"/>
    <w:uiPriority w:val="99"/>
    <w:semiHidden/>
    <w:unhideWhenUsed/>
    <w:rsid w:val="009C036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AGaramond-Italic"/>
      <w:sz w:val="20"/>
      <w:szCs w:val="20"/>
      <w:lang w:val="en-US" w:eastAsia="en-GB"/>
    </w:rPr>
  </w:style>
  <w:style w:type="character" w:customStyle="1" w:styleId="SubtitleChar">
    <w:name w:val="Subtitle Char"/>
    <w:basedOn w:val="DefaultParagraphFont"/>
    <w:link w:val="Subtitle"/>
    <w:uiPriority w:val="99"/>
    <w:rsid w:val="009C036D"/>
    <w:rPr>
      <w:rFonts w:ascii="Arial" w:eastAsia="Times New Roman" w:hAnsi="Arial" w:cs="Arial"/>
      <w:sz w:val="24"/>
      <w:szCs w:val="24"/>
      <w:lang w:eastAsia="en-GB"/>
    </w:rPr>
  </w:style>
  <w:style w:type="paragraph" w:styleId="Subtitle">
    <w:name w:val="Subtitle"/>
    <w:basedOn w:val="Normal"/>
    <w:next w:val="BodyText"/>
    <w:link w:val="SubtitleChar"/>
    <w:uiPriority w:val="99"/>
    <w:qFormat/>
    <w:rsid w:val="009C036D"/>
    <w:pPr>
      <w:suppressAutoHyphens/>
      <w:spacing w:after="60" w:line="240" w:lineRule="auto"/>
      <w:jc w:val="center"/>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9C036D"/>
    <w:pPr>
      <w:suppressAutoHyphens/>
      <w:spacing w:after="0" w:line="240" w:lineRule="auto"/>
    </w:pPr>
    <w:rPr>
      <w:rFonts w:ascii="Arial" w:eastAsia="Times New Roman" w:hAnsi="Arial" w:cs="Times New Roman"/>
      <w:b/>
      <w:sz w:val="20"/>
      <w:szCs w:val="20"/>
      <w:lang w:eastAsia="en-GB"/>
    </w:rPr>
  </w:style>
  <w:style w:type="character" w:customStyle="1" w:styleId="BodyTextChar">
    <w:name w:val="Body Text Char"/>
    <w:basedOn w:val="DefaultParagraphFont"/>
    <w:link w:val="BodyText"/>
    <w:uiPriority w:val="99"/>
    <w:semiHidden/>
    <w:rsid w:val="009C036D"/>
    <w:rPr>
      <w:rFonts w:ascii="Arial" w:eastAsia="Times New Roman" w:hAnsi="Arial" w:cs="Times New Roman"/>
      <w:b/>
      <w:sz w:val="20"/>
      <w:szCs w:val="20"/>
      <w:lang w:eastAsia="en-GB"/>
    </w:rPr>
  </w:style>
  <w:style w:type="character" w:customStyle="1" w:styleId="ClosingChar">
    <w:name w:val="Closing Char"/>
    <w:basedOn w:val="DefaultParagraphFont"/>
    <w:link w:val="Closing"/>
    <w:uiPriority w:val="99"/>
    <w:semiHidden/>
    <w:rsid w:val="009C036D"/>
    <w:rPr>
      <w:rFonts w:ascii="Arial" w:eastAsia="Times New Roman" w:hAnsi="Arial" w:cs="Times New Roman"/>
      <w:sz w:val="20"/>
      <w:szCs w:val="20"/>
      <w:lang w:eastAsia="en-GB"/>
    </w:rPr>
  </w:style>
  <w:style w:type="paragraph" w:styleId="Closing">
    <w:name w:val="Closing"/>
    <w:basedOn w:val="Normal"/>
    <w:link w:val="ClosingChar"/>
    <w:uiPriority w:val="99"/>
    <w:semiHidden/>
    <w:unhideWhenUsed/>
    <w:rsid w:val="009C036D"/>
    <w:pPr>
      <w:suppressAutoHyphens/>
      <w:spacing w:after="0" w:line="240" w:lineRule="auto"/>
      <w:ind w:left="4252"/>
    </w:pPr>
    <w:rPr>
      <w:rFonts w:ascii="Arial" w:eastAsia="Times New Roman" w:hAnsi="Arial" w:cs="Times New Roman"/>
      <w:sz w:val="20"/>
      <w:szCs w:val="20"/>
      <w:lang w:eastAsia="en-GB"/>
    </w:rPr>
  </w:style>
  <w:style w:type="character" w:customStyle="1" w:styleId="SignatureChar">
    <w:name w:val="Signature Char"/>
    <w:basedOn w:val="DefaultParagraphFont"/>
    <w:link w:val="Signature"/>
    <w:uiPriority w:val="99"/>
    <w:semiHidden/>
    <w:rsid w:val="009C036D"/>
    <w:rPr>
      <w:rFonts w:ascii="Arial" w:eastAsia="Times New Roman" w:hAnsi="Arial" w:cs="Times New Roman"/>
      <w:sz w:val="20"/>
      <w:szCs w:val="20"/>
      <w:lang w:eastAsia="en-GB"/>
    </w:rPr>
  </w:style>
  <w:style w:type="paragraph" w:styleId="Signature">
    <w:name w:val="Signature"/>
    <w:basedOn w:val="Normal"/>
    <w:link w:val="SignatureChar"/>
    <w:uiPriority w:val="99"/>
    <w:semiHidden/>
    <w:unhideWhenUsed/>
    <w:rsid w:val="009C036D"/>
    <w:pPr>
      <w:suppressAutoHyphens/>
      <w:spacing w:after="0" w:line="240" w:lineRule="auto"/>
      <w:ind w:left="4252"/>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uiPriority w:val="99"/>
    <w:semiHidden/>
    <w:rsid w:val="009C036D"/>
    <w:rPr>
      <w:rFonts w:ascii="Arial" w:eastAsia="Times New Roman" w:hAnsi="Arial" w:cs="Times New Roman"/>
      <w:sz w:val="20"/>
      <w:szCs w:val="20"/>
      <w:lang w:eastAsia="en-GB"/>
    </w:rPr>
  </w:style>
  <w:style w:type="paragraph" w:styleId="BodyTextIndent">
    <w:name w:val="Body Text Indent"/>
    <w:basedOn w:val="Normal"/>
    <w:link w:val="BodyTextIndentChar"/>
    <w:uiPriority w:val="99"/>
    <w:semiHidden/>
    <w:unhideWhenUsed/>
    <w:rsid w:val="009C036D"/>
    <w:pPr>
      <w:suppressAutoHyphens/>
      <w:spacing w:after="120" w:line="240" w:lineRule="auto"/>
      <w:ind w:left="283"/>
    </w:pPr>
    <w:rPr>
      <w:rFonts w:ascii="Arial" w:eastAsia="Times New Roman" w:hAnsi="Arial" w:cs="Times New Roman"/>
      <w:sz w:val="20"/>
      <w:szCs w:val="20"/>
      <w:lang w:eastAsia="en-GB"/>
    </w:rPr>
  </w:style>
  <w:style w:type="character" w:customStyle="1" w:styleId="MessageHeaderChar">
    <w:name w:val="Message Header Char"/>
    <w:basedOn w:val="DefaultParagraphFont"/>
    <w:link w:val="MessageHeader"/>
    <w:uiPriority w:val="99"/>
    <w:semiHidden/>
    <w:rsid w:val="009C036D"/>
    <w:rPr>
      <w:rFonts w:ascii="Arial" w:eastAsia="Times New Roman" w:hAnsi="Arial" w:cs="Arial"/>
      <w:sz w:val="24"/>
      <w:szCs w:val="24"/>
      <w:shd w:val="clear" w:color="auto" w:fill="CCCCCC"/>
      <w:lang w:eastAsia="en-GB"/>
    </w:rPr>
  </w:style>
  <w:style w:type="paragraph" w:styleId="MessageHeader">
    <w:name w:val="Message Header"/>
    <w:basedOn w:val="Normal"/>
    <w:link w:val="MessageHeaderChar"/>
    <w:uiPriority w:val="99"/>
    <w:semiHidden/>
    <w:unhideWhenUsed/>
    <w:rsid w:val="009C036D"/>
    <w:pPr>
      <w:pBdr>
        <w:top w:val="single" w:sz="4" w:space="1" w:color="000000"/>
        <w:left w:val="single" w:sz="4" w:space="1" w:color="000000"/>
        <w:bottom w:val="single" w:sz="4" w:space="1" w:color="000000"/>
        <w:right w:val="single" w:sz="4" w:space="1" w:color="000000"/>
      </w:pBdr>
      <w:shd w:val="clear" w:color="auto" w:fill="CCCCCC"/>
      <w:suppressAutoHyphens/>
      <w:spacing w:after="0" w:line="240" w:lineRule="auto"/>
      <w:ind w:left="1134" w:hanging="1134"/>
    </w:pPr>
    <w:rPr>
      <w:rFonts w:ascii="Arial" w:eastAsia="Times New Roman" w:hAnsi="Arial" w:cs="Arial"/>
      <w:sz w:val="24"/>
      <w:szCs w:val="24"/>
      <w:lang w:eastAsia="en-GB"/>
    </w:rPr>
  </w:style>
  <w:style w:type="character" w:customStyle="1" w:styleId="SalutationChar">
    <w:name w:val="Salutation Char"/>
    <w:basedOn w:val="DefaultParagraphFont"/>
    <w:link w:val="Salutation"/>
    <w:uiPriority w:val="99"/>
    <w:semiHidden/>
    <w:rsid w:val="009C036D"/>
    <w:rPr>
      <w:rFonts w:ascii="Arial" w:eastAsia="Times New Roman" w:hAnsi="Arial" w:cs="Times New Roman"/>
      <w:sz w:val="20"/>
      <w:szCs w:val="20"/>
      <w:lang w:eastAsia="en-GB"/>
    </w:rPr>
  </w:style>
  <w:style w:type="paragraph" w:styleId="Salutation">
    <w:name w:val="Salutation"/>
    <w:basedOn w:val="Normal"/>
    <w:next w:val="Normal"/>
    <w:link w:val="Salutation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DateChar">
    <w:name w:val="Date Char"/>
    <w:basedOn w:val="DefaultParagraphFont"/>
    <w:link w:val="Date"/>
    <w:uiPriority w:val="99"/>
    <w:semiHidden/>
    <w:rsid w:val="009C036D"/>
    <w:rPr>
      <w:rFonts w:ascii="Arial" w:eastAsia="Times New Roman" w:hAnsi="Arial" w:cs="Times New Roman"/>
      <w:sz w:val="20"/>
      <w:szCs w:val="20"/>
      <w:lang w:eastAsia="en-GB"/>
    </w:rPr>
  </w:style>
  <w:style w:type="paragraph" w:styleId="Date">
    <w:name w:val="Date"/>
    <w:basedOn w:val="Normal"/>
    <w:next w:val="Normal"/>
    <w:link w:val="Date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BodyTextFirstIndentChar">
    <w:name w:val="Body Text First Indent Char"/>
    <w:basedOn w:val="BodyTextChar"/>
    <w:link w:val="BodyTextFirstIndent"/>
    <w:uiPriority w:val="99"/>
    <w:semiHidden/>
    <w:rsid w:val="009C036D"/>
    <w:rPr>
      <w:rFonts w:ascii="Arial" w:eastAsia="Times New Roman" w:hAnsi="Arial" w:cs="Times New Roman"/>
      <w:b w:val="0"/>
      <w:sz w:val="20"/>
      <w:szCs w:val="20"/>
      <w:lang w:val="en-US" w:eastAsia="en-GB"/>
    </w:rPr>
  </w:style>
  <w:style w:type="paragraph" w:styleId="BodyTextFirstIndent">
    <w:name w:val="Body Text First Indent"/>
    <w:basedOn w:val="BodyText"/>
    <w:link w:val="BodyTextFirstIndentChar"/>
    <w:uiPriority w:val="99"/>
    <w:semiHidden/>
    <w:unhideWhenUsed/>
    <w:rsid w:val="009C036D"/>
    <w:pPr>
      <w:spacing w:after="120"/>
      <w:ind w:firstLine="210"/>
    </w:pPr>
    <w:rPr>
      <w:b w:val="0"/>
      <w:lang w:val="en-US"/>
    </w:rPr>
  </w:style>
  <w:style w:type="character" w:customStyle="1" w:styleId="BodyTextFirstIndent2Char">
    <w:name w:val="Body Text First Indent 2 Char"/>
    <w:basedOn w:val="BodyTextIndentChar"/>
    <w:link w:val="BodyTextFirstIndent2"/>
    <w:uiPriority w:val="99"/>
    <w:semiHidden/>
    <w:rsid w:val="009C036D"/>
    <w:rPr>
      <w:rFonts w:ascii="Arial" w:eastAsia="Times New Roman" w:hAnsi="Arial" w:cs="Times New Roman"/>
      <w:sz w:val="20"/>
      <w:szCs w:val="20"/>
      <w:lang w:eastAsia="en-GB"/>
    </w:rPr>
  </w:style>
  <w:style w:type="paragraph" w:styleId="BodyTextFirstIndent2">
    <w:name w:val="Body Text First Indent 2"/>
    <w:basedOn w:val="BodyTextIndent"/>
    <w:link w:val="BodyTextFirstIndent2Char"/>
    <w:uiPriority w:val="99"/>
    <w:semiHidden/>
    <w:unhideWhenUsed/>
    <w:rsid w:val="009C036D"/>
    <w:pPr>
      <w:ind w:firstLine="210"/>
    </w:pPr>
  </w:style>
  <w:style w:type="character" w:customStyle="1" w:styleId="NoteHeadingChar">
    <w:name w:val="Note Heading Char"/>
    <w:basedOn w:val="DefaultParagraphFont"/>
    <w:link w:val="NoteHeading"/>
    <w:uiPriority w:val="99"/>
    <w:semiHidden/>
    <w:rsid w:val="009C036D"/>
    <w:rPr>
      <w:rFonts w:ascii="Arial" w:eastAsia="Times New Roman" w:hAnsi="Arial" w:cs="Times New Roman"/>
      <w:sz w:val="20"/>
      <w:szCs w:val="20"/>
      <w:lang w:eastAsia="en-GB"/>
    </w:rPr>
  </w:style>
  <w:style w:type="paragraph" w:styleId="NoteHeading">
    <w:name w:val="Note Heading"/>
    <w:basedOn w:val="Normal"/>
    <w:next w:val="Normal"/>
    <w:link w:val="NoteHeading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BodyText2Char">
    <w:name w:val="Body Text 2 Char"/>
    <w:basedOn w:val="DefaultParagraphFont"/>
    <w:link w:val="BodyText2"/>
    <w:uiPriority w:val="99"/>
    <w:semiHidden/>
    <w:rsid w:val="009C036D"/>
    <w:rPr>
      <w:rFonts w:ascii="Times New Roman" w:eastAsia="Times New Roman" w:hAnsi="Times New Roman" w:cs="Times New Roman"/>
      <w:szCs w:val="20"/>
      <w:lang w:eastAsia="en-GB"/>
    </w:rPr>
  </w:style>
  <w:style w:type="paragraph" w:styleId="BodyText2">
    <w:name w:val="Body Text 2"/>
    <w:basedOn w:val="Normal"/>
    <w:link w:val="BodyText2Char"/>
    <w:uiPriority w:val="99"/>
    <w:semiHidden/>
    <w:unhideWhenUsed/>
    <w:rsid w:val="009C036D"/>
    <w:pPr>
      <w:tabs>
        <w:tab w:val="right" w:pos="9385"/>
      </w:tabs>
      <w:suppressAutoHyphens/>
      <w:spacing w:after="0" w:line="240" w:lineRule="auto"/>
      <w:ind w:right="1096"/>
      <w:jc w:val="both"/>
    </w:pPr>
    <w:rPr>
      <w:rFonts w:ascii="Times New Roman" w:eastAsia="Times New Roman" w:hAnsi="Times New Roman" w:cs="Times New Roman"/>
      <w:szCs w:val="20"/>
      <w:lang w:eastAsia="en-GB"/>
    </w:rPr>
  </w:style>
  <w:style w:type="character" w:customStyle="1" w:styleId="BodyTextIndent2Char">
    <w:name w:val="Body Text Indent 2 Char"/>
    <w:basedOn w:val="DefaultParagraphFont"/>
    <w:link w:val="BodyTextIndent2"/>
    <w:uiPriority w:val="99"/>
    <w:semiHidden/>
    <w:rsid w:val="009C036D"/>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9C036D"/>
    <w:pPr>
      <w:suppressAutoHyphens/>
      <w:spacing w:after="120" w:line="480" w:lineRule="auto"/>
      <w:ind w:left="283"/>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uiPriority w:val="99"/>
    <w:semiHidden/>
    <w:rsid w:val="009C036D"/>
    <w:rPr>
      <w:rFonts w:ascii="Arial" w:eastAsia="Times New Roman" w:hAnsi="Arial" w:cs="Arial"/>
      <w:b/>
      <w:bCs/>
      <w:color w:val="000000"/>
      <w:sz w:val="36"/>
      <w:szCs w:val="36"/>
      <w:lang w:eastAsia="en-GB"/>
    </w:rPr>
  </w:style>
  <w:style w:type="paragraph" w:styleId="BodyTextIndent3">
    <w:name w:val="Body Text Indent 3"/>
    <w:basedOn w:val="Normal"/>
    <w:link w:val="BodyTextIndent3Char"/>
    <w:uiPriority w:val="99"/>
    <w:semiHidden/>
    <w:unhideWhenUsed/>
    <w:rsid w:val="009C036D"/>
    <w:pPr>
      <w:suppressAutoHyphens/>
      <w:spacing w:after="0" w:line="240" w:lineRule="auto"/>
      <w:ind w:left="720"/>
      <w:jc w:val="center"/>
    </w:pPr>
    <w:rPr>
      <w:rFonts w:ascii="Arial" w:eastAsia="Times New Roman" w:hAnsi="Arial" w:cs="Arial"/>
      <w:b/>
      <w:bCs/>
      <w:color w:val="000000"/>
      <w:sz w:val="36"/>
      <w:szCs w:val="36"/>
      <w:lang w:eastAsia="en-GB"/>
    </w:rPr>
  </w:style>
  <w:style w:type="character" w:customStyle="1" w:styleId="DocumentMapChar">
    <w:name w:val="Document Map Char"/>
    <w:basedOn w:val="DefaultParagraphFont"/>
    <w:link w:val="DocumentMap"/>
    <w:uiPriority w:val="99"/>
    <w:semiHidden/>
    <w:rsid w:val="009C036D"/>
    <w:rPr>
      <w:rFonts w:ascii="Tahoma" w:eastAsia="Times New Roman" w:hAnsi="Tahoma" w:cs="Helvetica"/>
      <w:sz w:val="20"/>
      <w:szCs w:val="20"/>
      <w:shd w:val="clear" w:color="auto" w:fill="000080"/>
      <w:lang w:eastAsia="en-GB"/>
    </w:rPr>
  </w:style>
  <w:style w:type="paragraph" w:styleId="DocumentMap">
    <w:name w:val="Document Map"/>
    <w:basedOn w:val="Normal"/>
    <w:link w:val="DocumentMapChar"/>
    <w:uiPriority w:val="99"/>
    <w:semiHidden/>
    <w:unhideWhenUsed/>
    <w:rsid w:val="009C036D"/>
    <w:pPr>
      <w:shd w:val="clear" w:color="auto" w:fill="000080"/>
      <w:suppressAutoHyphens/>
      <w:spacing w:after="0" w:line="240" w:lineRule="auto"/>
    </w:pPr>
    <w:rPr>
      <w:rFonts w:ascii="Tahoma" w:eastAsia="Times New Roman" w:hAnsi="Tahoma" w:cs="Helvetica"/>
      <w:sz w:val="20"/>
      <w:szCs w:val="20"/>
      <w:lang w:eastAsia="en-GB"/>
    </w:rPr>
  </w:style>
  <w:style w:type="paragraph" w:styleId="PlainText">
    <w:name w:val="Plain Text"/>
    <w:basedOn w:val="Normal"/>
    <w:link w:val="PlainTextChar1"/>
    <w:uiPriority w:val="99"/>
    <w:semiHidden/>
    <w:unhideWhenUsed/>
    <w:rsid w:val="009C036D"/>
    <w:pPr>
      <w:suppressAutoHyphens/>
      <w:spacing w:after="0" w:line="240" w:lineRule="auto"/>
    </w:pPr>
    <w:rPr>
      <w:rFonts w:ascii="Courier New" w:eastAsia="Times New Roman" w:hAnsi="Courier New" w:cs="Times New Roman"/>
      <w:sz w:val="20"/>
      <w:szCs w:val="20"/>
      <w:lang w:eastAsia="en-GB"/>
    </w:rPr>
  </w:style>
  <w:style w:type="character" w:customStyle="1" w:styleId="PlainTextChar1">
    <w:name w:val="Plain Text Char1"/>
    <w:basedOn w:val="DefaultParagraphFont"/>
    <w:link w:val="PlainText"/>
    <w:uiPriority w:val="99"/>
    <w:semiHidden/>
    <w:locked/>
    <w:rsid w:val="009C036D"/>
    <w:rPr>
      <w:rFonts w:ascii="Courier New" w:eastAsia="Times New Roman" w:hAnsi="Courier New" w:cs="Times New Roman"/>
      <w:sz w:val="20"/>
      <w:szCs w:val="20"/>
      <w:lang w:eastAsia="en-GB"/>
    </w:rPr>
  </w:style>
  <w:style w:type="character" w:customStyle="1" w:styleId="PlainTextChar">
    <w:name w:val="Plain Text Char"/>
    <w:basedOn w:val="DefaultParagraphFont"/>
    <w:uiPriority w:val="99"/>
    <w:semiHidden/>
    <w:rsid w:val="009C036D"/>
    <w:rPr>
      <w:rFonts w:ascii="Consolas" w:hAnsi="Consolas"/>
      <w:sz w:val="21"/>
      <w:szCs w:val="21"/>
    </w:rPr>
  </w:style>
  <w:style w:type="character" w:customStyle="1" w:styleId="E-mailSignatureChar">
    <w:name w:val="E-mail Signature Char"/>
    <w:basedOn w:val="DefaultParagraphFont"/>
    <w:link w:val="E-mailSignature"/>
    <w:uiPriority w:val="99"/>
    <w:semiHidden/>
    <w:rsid w:val="009C036D"/>
    <w:rPr>
      <w:rFonts w:ascii="Arial" w:eastAsia="Times New Roman" w:hAnsi="Arial" w:cs="Times New Roman"/>
      <w:sz w:val="20"/>
      <w:szCs w:val="20"/>
      <w:lang w:eastAsia="en-GB"/>
    </w:rPr>
  </w:style>
  <w:style w:type="paragraph" w:styleId="E-mailSignature">
    <w:name w:val="E-mail Signature"/>
    <w:basedOn w:val="Normal"/>
    <w:link w:val="E-mailSignatureChar"/>
    <w:uiPriority w:val="99"/>
    <w:semiHidden/>
    <w:unhideWhenUsed/>
    <w:rsid w:val="009C036D"/>
    <w:pPr>
      <w:suppressAutoHyphens/>
      <w:spacing w:after="0" w:line="240" w:lineRule="auto"/>
    </w:pPr>
    <w:rPr>
      <w:rFonts w:ascii="Arial" w:eastAsia="Times New Roman" w:hAnsi="Arial" w:cs="Times New Roman"/>
      <w:sz w:val="20"/>
      <w:szCs w:val="20"/>
      <w:lang w:eastAsia="en-GB"/>
    </w:rPr>
  </w:style>
  <w:style w:type="character" w:customStyle="1" w:styleId="CommentSubjectChar">
    <w:name w:val="Comment Subject Char"/>
    <w:basedOn w:val="CommentTextChar"/>
    <w:link w:val="CommentSubject"/>
    <w:uiPriority w:val="99"/>
    <w:semiHidden/>
    <w:rsid w:val="009C036D"/>
    <w:rPr>
      <w:rFonts w:ascii="Arial" w:eastAsia="Times New Roman" w:hAnsi="Arial"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C036D"/>
    <w:rPr>
      <w:b/>
      <w:bCs/>
    </w:rPr>
  </w:style>
  <w:style w:type="character" w:customStyle="1" w:styleId="BalloonTextChar">
    <w:name w:val="Balloon Text Char"/>
    <w:basedOn w:val="DefaultParagraphFont"/>
    <w:link w:val="BalloonText"/>
    <w:uiPriority w:val="99"/>
    <w:semiHidden/>
    <w:rsid w:val="009C036D"/>
    <w:rPr>
      <w:rFonts w:ascii="Tahoma" w:eastAsia="Times New Roman" w:hAnsi="Tahoma" w:cs="Syntax-Roman"/>
      <w:sz w:val="16"/>
      <w:szCs w:val="16"/>
      <w:lang w:eastAsia="en-GB"/>
    </w:rPr>
  </w:style>
  <w:style w:type="paragraph" w:styleId="BalloonText">
    <w:name w:val="Balloon Text"/>
    <w:basedOn w:val="Normal"/>
    <w:link w:val="BalloonTextChar"/>
    <w:uiPriority w:val="99"/>
    <w:semiHidden/>
    <w:unhideWhenUsed/>
    <w:rsid w:val="009C036D"/>
    <w:pPr>
      <w:suppressAutoHyphens/>
      <w:spacing w:after="0" w:line="240" w:lineRule="auto"/>
    </w:pPr>
    <w:rPr>
      <w:rFonts w:ascii="Tahoma" w:eastAsia="Times New Roman" w:hAnsi="Tahoma" w:cs="Syntax-Roman"/>
      <w:sz w:val="16"/>
      <w:szCs w:val="16"/>
      <w:lang w:eastAsia="en-GB"/>
    </w:rPr>
  </w:style>
  <w:style w:type="character" w:customStyle="1" w:styleId="FIGUREChar">
    <w:name w:val="FIGURE Char"/>
    <w:link w:val="FIGURE"/>
    <w:uiPriority w:val="99"/>
    <w:locked/>
    <w:rsid w:val="009C036D"/>
    <w:rPr>
      <w:rFonts w:ascii="Arial" w:hAnsi="Arial" w:cs="Arial"/>
      <w:b/>
    </w:rPr>
  </w:style>
  <w:style w:type="paragraph" w:customStyle="1" w:styleId="FIGURE">
    <w:name w:val="FIGURE"/>
    <w:basedOn w:val="Normal"/>
    <w:next w:val="FIGURES"/>
    <w:link w:val="FIGUREChar"/>
    <w:uiPriority w:val="99"/>
    <w:rsid w:val="009C036D"/>
    <w:pPr>
      <w:suppressAutoHyphens/>
      <w:spacing w:after="0" w:line="240" w:lineRule="auto"/>
    </w:pPr>
    <w:rPr>
      <w:rFonts w:ascii="Arial" w:hAnsi="Arial" w:cs="Arial"/>
      <w:b/>
    </w:rPr>
  </w:style>
  <w:style w:type="paragraph" w:customStyle="1" w:styleId="FIGURES">
    <w:name w:val="FIGURES"/>
    <w:basedOn w:val="FIGURE"/>
    <w:next w:val="TABLES"/>
    <w:uiPriority w:val="99"/>
    <w:qFormat/>
    <w:rsid w:val="009C036D"/>
  </w:style>
  <w:style w:type="paragraph" w:customStyle="1" w:styleId="TABLES">
    <w:name w:val="TABLES"/>
    <w:basedOn w:val="Heading8"/>
    <w:autoRedefine/>
    <w:uiPriority w:val="99"/>
    <w:qFormat/>
    <w:rsid w:val="00453105"/>
    <w:pPr>
      <w:keepNext/>
      <w:spacing w:before="0" w:after="0" w:line="260" w:lineRule="exact"/>
      <w:jc w:val="both"/>
      <w:outlineLvl w:val="9"/>
    </w:pPr>
    <w:rPr>
      <w:rFonts w:ascii="Franklin Gothic Book" w:hAnsi="Franklin Gothic Book" w:cs="Arial"/>
      <w:b/>
      <w:i w:val="0"/>
      <w:iCs w:val="0"/>
      <w:sz w:val="22"/>
      <w:szCs w:val="20"/>
    </w:rPr>
  </w:style>
  <w:style w:type="character" w:customStyle="1" w:styleId="z-TopofFormChar">
    <w:name w:val="z-Top of Form Char"/>
    <w:basedOn w:val="DefaultParagraphFont"/>
    <w:link w:val="z-TopofForm"/>
    <w:uiPriority w:val="99"/>
    <w:semiHidden/>
    <w:rsid w:val="009C036D"/>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9C036D"/>
    <w:pPr>
      <w:pBdr>
        <w:bottom w:val="single" w:sz="6" w:space="1" w:color="auto"/>
      </w:pBdr>
      <w:suppressAutoHyphens/>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C036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C036D"/>
    <w:pPr>
      <w:pBdr>
        <w:top w:val="single" w:sz="6" w:space="1" w:color="auto"/>
      </w:pBdr>
      <w:suppressAutoHyphens/>
      <w:spacing w:after="0" w:line="240" w:lineRule="auto"/>
      <w:jc w:val="center"/>
    </w:pPr>
    <w:rPr>
      <w:rFonts w:ascii="Arial" w:eastAsia="Times New Roman" w:hAnsi="Arial" w:cs="Arial"/>
      <w:vanish/>
      <w:sz w:val="16"/>
      <w:szCs w:val="16"/>
      <w:lang w:eastAsia="en-GB"/>
    </w:rPr>
  </w:style>
  <w:style w:type="character" w:styleId="Hyperlink">
    <w:name w:val="Hyperlink"/>
    <w:uiPriority w:val="99"/>
    <w:unhideWhenUsed/>
    <w:rsid w:val="009C036D"/>
    <w:rPr>
      <w:color w:val="0000FF"/>
      <w:u w:val="single"/>
    </w:rPr>
  </w:style>
  <w:style w:type="paragraph" w:styleId="TOC1">
    <w:name w:val="toc 1"/>
    <w:basedOn w:val="Normal"/>
    <w:next w:val="Normal"/>
    <w:autoRedefine/>
    <w:uiPriority w:val="39"/>
    <w:unhideWhenUsed/>
    <w:rsid w:val="00AE1052"/>
    <w:pPr>
      <w:tabs>
        <w:tab w:val="right" w:leader="dot" w:pos="14011"/>
      </w:tabs>
      <w:suppressAutoHyphens/>
      <w:spacing w:after="120" w:line="240" w:lineRule="auto"/>
      <w:ind w:left="284" w:hanging="284"/>
      <w:jc w:val="both"/>
    </w:pPr>
    <w:rPr>
      <w:rFonts w:eastAsia="Times New Roman" w:cs="Times New Roman"/>
      <w:sz w:val="20"/>
      <w:szCs w:val="20"/>
      <w:lang w:eastAsia="en-GB"/>
    </w:rPr>
  </w:style>
  <w:style w:type="paragraph" w:styleId="TOC2">
    <w:name w:val="toc 2"/>
    <w:basedOn w:val="Normal"/>
    <w:next w:val="Normal"/>
    <w:autoRedefine/>
    <w:uiPriority w:val="39"/>
    <w:unhideWhenUsed/>
    <w:rsid w:val="00C11B30"/>
    <w:pPr>
      <w:tabs>
        <w:tab w:val="right" w:leader="dot" w:pos="13892"/>
      </w:tabs>
      <w:suppressAutoHyphens/>
      <w:spacing w:after="0" w:line="360" w:lineRule="auto"/>
      <w:ind w:left="200"/>
      <w:jc w:val="both"/>
    </w:pPr>
    <w:rPr>
      <w:rFonts w:ascii="Arial" w:eastAsia="Times New Roman" w:hAnsi="Arial" w:cs="Times New Roman"/>
      <w:sz w:val="20"/>
      <w:szCs w:val="20"/>
      <w:lang w:eastAsia="en-GB"/>
    </w:rPr>
  </w:style>
  <w:style w:type="paragraph" w:styleId="TOC3">
    <w:name w:val="toc 3"/>
    <w:basedOn w:val="Normal"/>
    <w:next w:val="Normal"/>
    <w:autoRedefine/>
    <w:uiPriority w:val="39"/>
    <w:unhideWhenUsed/>
    <w:rsid w:val="00C11B30"/>
    <w:pPr>
      <w:tabs>
        <w:tab w:val="left" w:pos="993"/>
        <w:tab w:val="right" w:leader="dot" w:pos="13892"/>
      </w:tabs>
      <w:suppressAutoHyphens/>
      <w:spacing w:after="0" w:line="360" w:lineRule="auto"/>
      <w:ind w:left="284"/>
      <w:jc w:val="both"/>
    </w:pPr>
    <w:rPr>
      <w:rFonts w:ascii="Arial" w:eastAsia="Times New Roman" w:hAnsi="Arial" w:cs="Times New Roman"/>
      <w:sz w:val="20"/>
      <w:szCs w:val="20"/>
      <w:lang w:eastAsia="en-GB"/>
    </w:rPr>
  </w:style>
  <w:style w:type="paragraph" w:styleId="ListParagraph">
    <w:name w:val="List Paragraph"/>
    <w:basedOn w:val="Normal"/>
    <w:uiPriority w:val="34"/>
    <w:qFormat/>
    <w:rsid w:val="005F2C05"/>
    <w:pPr>
      <w:suppressAutoHyphens/>
      <w:spacing w:after="0" w:line="240" w:lineRule="auto"/>
      <w:ind w:left="720"/>
    </w:pPr>
    <w:rPr>
      <w:rFonts w:eastAsia="Times New Roman" w:cs="Times New Roman"/>
      <w:szCs w:val="20"/>
      <w:lang w:eastAsia="en-GB"/>
    </w:rPr>
  </w:style>
  <w:style w:type="table" w:styleId="TableGrid">
    <w:name w:val="Table Grid"/>
    <w:basedOn w:val="TableNormal"/>
    <w:uiPriority w:val="39"/>
    <w:rsid w:val="001B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0D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E26AC7"/>
    <w:rPr>
      <w:vertAlign w:val="superscript"/>
    </w:rPr>
  </w:style>
  <w:style w:type="paragraph" w:styleId="TOC4">
    <w:name w:val="toc 4"/>
    <w:basedOn w:val="Normal"/>
    <w:next w:val="Normal"/>
    <w:autoRedefine/>
    <w:uiPriority w:val="39"/>
    <w:unhideWhenUsed/>
    <w:rsid w:val="00736197"/>
    <w:pPr>
      <w:spacing w:after="100"/>
      <w:ind w:left="660"/>
    </w:pPr>
  </w:style>
  <w:style w:type="paragraph" w:customStyle="1" w:styleId="small">
    <w:name w:val="small"/>
    <w:basedOn w:val="Normal"/>
    <w:rsid w:val="00250E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unhideWhenUsed/>
    <w:rsid w:val="00E74AF7"/>
    <w:rPr>
      <w:sz w:val="16"/>
      <w:szCs w:val="16"/>
    </w:rPr>
  </w:style>
  <w:style w:type="character" w:customStyle="1" w:styleId="UnresolvedMention1">
    <w:name w:val="Unresolved Mention1"/>
    <w:basedOn w:val="DefaultParagraphFont"/>
    <w:uiPriority w:val="99"/>
    <w:semiHidden/>
    <w:unhideWhenUsed/>
    <w:rsid w:val="005432D0"/>
    <w:rPr>
      <w:color w:val="605E5C"/>
      <w:shd w:val="clear" w:color="auto" w:fill="E1DFDD"/>
    </w:rPr>
  </w:style>
  <w:style w:type="character" w:styleId="FollowedHyperlink">
    <w:name w:val="FollowedHyperlink"/>
    <w:basedOn w:val="DefaultParagraphFont"/>
    <w:uiPriority w:val="99"/>
    <w:semiHidden/>
    <w:unhideWhenUsed/>
    <w:rsid w:val="00E50F39"/>
    <w:rPr>
      <w:color w:val="954F72"/>
      <w:u w:val="single"/>
    </w:rPr>
  </w:style>
  <w:style w:type="paragraph" w:customStyle="1" w:styleId="msonormal0">
    <w:name w:val="msonormal"/>
    <w:basedOn w:val="Normal"/>
    <w:rsid w:val="00E50F3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xl65">
    <w:name w:val="xl65"/>
    <w:basedOn w:val="Normal"/>
    <w:rsid w:val="00E50F39"/>
    <w:pPr>
      <w:spacing w:before="100" w:beforeAutospacing="1" w:after="100" w:afterAutospacing="1" w:line="240" w:lineRule="auto"/>
    </w:pPr>
    <w:rPr>
      <w:rFonts w:eastAsia="Times New Roman" w:cs="Times New Roman"/>
      <w:color w:val="auto"/>
      <w:sz w:val="24"/>
      <w:szCs w:val="24"/>
      <w:lang w:eastAsia="en-GB"/>
    </w:rPr>
  </w:style>
  <w:style w:type="paragraph" w:customStyle="1" w:styleId="xl66">
    <w:name w:val="xl66"/>
    <w:basedOn w:val="Normal"/>
    <w:rsid w:val="00E50F39"/>
    <w:pPr>
      <w:spacing w:before="100" w:beforeAutospacing="1" w:after="100" w:afterAutospacing="1" w:line="240" w:lineRule="auto"/>
    </w:pPr>
    <w:rPr>
      <w:rFonts w:eastAsia="Times New Roman" w:cs="Times New Roman"/>
      <w:color w:val="auto"/>
      <w:sz w:val="24"/>
      <w:szCs w:val="24"/>
      <w:lang w:eastAsia="en-GB"/>
    </w:rPr>
  </w:style>
  <w:style w:type="paragraph" w:customStyle="1" w:styleId="xl67">
    <w:name w:val="xl67"/>
    <w:basedOn w:val="Normal"/>
    <w:rsid w:val="00E50F39"/>
    <w:pPr>
      <w:pBdr>
        <w:lef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68">
    <w:name w:val="xl68"/>
    <w:basedOn w:val="Normal"/>
    <w:rsid w:val="00E50F39"/>
    <w:pP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69">
    <w:name w:val="xl69"/>
    <w:basedOn w:val="Normal"/>
    <w:rsid w:val="00E50F39"/>
    <w:pP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0">
    <w:name w:val="xl70"/>
    <w:basedOn w:val="Normal"/>
    <w:rsid w:val="00E50F39"/>
    <w:pPr>
      <w:pBdr>
        <w:righ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71">
    <w:name w:val="xl71"/>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2">
    <w:name w:val="xl72"/>
    <w:basedOn w:val="Normal"/>
    <w:rsid w:val="00E50F39"/>
    <w:pP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73">
    <w:name w:val="xl73"/>
    <w:basedOn w:val="Normal"/>
    <w:rsid w:val="00E50F39"/>
    <w:pPr>
      <w:pBdr>
        <w:lef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74">
    <w:name w:val="xl74"/>
    <w:basedOn w:val="Normal"/>
    <w:rsid w:val="00E50F39"/>
    <w:pPr>
      <w:pBdr>
        <w:lef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75">
    <w:name w:val="xl75"/>
    <w:basedOn w:val="Normal"/>
    <w:rsid w:val="00E50F39"/>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76">
    <w:name w:val="xl76"/>
    <w:basedOn w:val="Normal"/>
    <w:rsid w:val="00E50F39"/>
    <w:pPr>
      <w:pBdr>
        <w:top w:val="single" w:sz="4" w:space="0" w:color="auto"/>
        <w:bottom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77">
    <w:name w:val="xl77"/>
    <w:basedOn w:val="Normal"/>
    <w:rsid w:val="00E50F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auto"/>
      <w:sz w:val="24"/>
      <w:szCs w:val="24"/>
      <w:lang w:eastAsia="en-GB"/>
    </w:rPr>
  </w:style>
  <w:style w:type="paragraph" w:customStyle="1" w:styleId="xl78">
    <w:name w:val="xl78"/>
    <w:basedOn w:val="Normal"/>
    <w:rsid w:val="00E50F39"/>
    <w:pPr>
      <w:pBdr>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79">
    <w:name w:val="xl79"/>
    <w:basedOn w:val="Normal"/>
    <w:rsid w:val="00E50F39"/>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80">
    <w:name w:val="xl80"/>
    <w:basedOn w:val="Normal"/>
    <w:rsid w:val="00E50F39"/>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auto"/>
      <w:sz w:val="24"/>
      <w:szCs w:val="24"/>
      <w:lang w:eastAsia="en-GB"/>
    </w:rPr>
  </w:style>
  <w:style w:type="paragraph" w:customStyle="1" w:styleId="xl81">
    <w:name w:val="xl8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2">
    <w:name w:val="xl82"/>
    <w:basedOn w:val="Normal"/>
    <w:rsid w:val="00E50F39"/>
    <w:pPr>
      <w:pBdr>
        <w:top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3">
    <w:name w:val="xl8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4">
    <w:name w:val="xl84"/>
    <w:basedOn w:val="Normal"/>
    <w:rsid w:val="00E50F39"/>
    <w:pPr>
      <w:pBdr>
        <w:lef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5">
    <w:name w:val="xl85"/>
    <w:basedOn w:val="Normal"/>
    <w:rsid w:val="00E50F39"/>
    <w:pP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6">
    <w:name w:val="xl8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87">
    <w:name w:val="xl87"/>
    <w:basedOn w:val="Normal"/>
    <w:rsid w:val="00E50F39"/>
    <w:pPr>
      <w:spacing w:before="100" w:beforeAutospacing="1" w:after="100" w:afterAutospacing="1" w:line="240" w:lineRule="auto"/>
      <w:jc w:val="center"/>
      <w:textAlignment w:val="top"/>
    </w:pPr>
    <w:rPr>
      <w:rFonts w:eastAsia="Times New Roman" w:cs="Times New Roman"/>
      <w:color w:val="7030A0"/>
      <w:sz w:val="24"/>
      <w:szCs w:val="24"/>
      <w:lang w:eastAsia="en-GB"/>
    </w:rPr>
  </w:style>
  <w:style w:type="paragraph" w:customStyle="1" w:styleId="xl88">
    <w:name w:val="xl88"/>
    <w:basedOn w:val="Normal"/>
    <w:rsid w:val="00E50F39"/>
    <w:pPr>
      <w:pBdr>
        <w:right w:val="single" w:sz="4" w:space="0" w:color="auto"/>
      </w:pBdr>
      <w:spacing w:before="100" w:beforeAutospacing="1" w:after="100" w:afterAutospacing="1" w:line="240" w:lineRule="auto"/>
      <w:jc w:val="center"/>
      <w:textAlignment w:val="top"/>
    </w:pPr>
    <w:rPr>
      <w:rFonts w:eastAsia="Times New Roman" w:cs="Times New Roman"/>
      <w:color w:val="7030A0"/>
      <w:sz w:val="24"/>
      <w:szCs w:val="24"/>
      <w:lang w:eastAsia="en-GB"/>
    </w:rPr>
  </w:style>
  <w:style w:type="paragraph" w:customStyle="1" w:styleId="xl89">
    <w:name w:val="xl89"/>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0">
    <w:name w:val="xl90"/>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1">
    <w:name w:val="xl91"/>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7030A0"/>
      <w:sz w:val="24"/>
      <w:szCs w:val="24"/>
      <w:lang w:eastAsia="en-GB"/>
    </w:rPr>
  </w:style>
  <w:style w:type="paragraph" w:customStyle="1" w:styleId="xl92">
    <w:name w:val="xl92"/>
    <w:basedOn w:val="Normal"/>
    <w:rsid w:val="00E50F39"/>
    <w:pPr>
      <w:pBdr>
        <w:left w:val="single" w:sz="4" w:space="0" w:color="auto"/>
      </w:pBd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3">
    <w:name w:val="xl93"/>
    <w:basedOn w:val="Normal"/>
    <w:rsid w:val="00E50F39"/>
    <w:pPr>
      <w:pBdr>
        <w:left w:val="single" w:sz="4" w:space="0" w:color="auto"/>
        <w:right w:val="single" w:sz="4" w:space="0" w:color="auto"/>
      </w:pBd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4">
    <w:name w:val="xl94"/>
    <w:basedOn w:val="Normal"/>
    <w:rsid w:val="00E50F39"/>
    <w:pPr>
      <w:shd w:val="clear" w:color="000000" w:fill="3A3838"/>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95">
    <w:name w:val="xl95"/>
    <w:basedOn w:val="Normal"/>
    <w:rsid w:val="00E50F39"/>
    <w:pPr>
      <w:pBdr>
        <w:lef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6">
    <w:name w:val="xl96"/>
    <w:basedOn w:val="Normal"/>
    <w:rsid w:val="00E50F39"/>
    <w:pPr>
      <w:spacing w:before="100" w:beforeAutospacing="1" w:after="100" w:afterAutospacing="1" w:line="240" w:lineRule="auto"/>
      <w:jc w:val="center"/>
    </w:pPr>
    <w:rPr>
      <w:rFonts w:eastAsia="Times New Roman" w:cs="Times New Roman"/>
      <w:color w:val="548235"/>
      <w:sz w:val="24"/>
      <w:szCs w:val="24"/>
      <w:lang w:eastAsia="en-GB"/>
    </w:rPr>
  </w:style>
  <w:style w:type="paragraph" w:customStyle="1" w:styleId="xl97">
    <w:name w:val="xl97"/>
    <w:basedOn w:val="Normal"/>
    <w:rsid w:val="00E50F39"/>
    <w:pP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8">
    <w:name w:val="xl9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99">
    <w:name w:val="xl99"/>
    <w:basedOn w:val="Normal"/>
    <w:rsid w:val="00E50F39"/>
    <w:pPr>
      <w:pBdr>
        <w:right w:val="single" w:sz="4" w:space="0" w:color="auto"/>
      </w:pBdr>
      <w:spacing w:before="100" w:beforeAutospacing="1" w:after="100" w:afterAutospacing="1" w:line="240" w:lineRule="auto"/>
      <w:jc w:val="center"/>
    </w:pPr>
    <w:rPr>
      <w:rFonts w:eastAsia="Times New Roman" w:cs="Times New Roman"/>
      <w:color w:val="548235"/>
      <w:sz w:val="24"/>
      <w:szCs w:val="24"/>
      <w:lang w:eastAsia="en-GB"/>
    </w:rPr>
  </w:style>
  <w:style w:type="paragraph" w:customStyle="1" w:styleId="xl100">
    <w:name w:val="xl100"/>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1">
    <w:name w:val="xl101"/>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2">
    <w:name w:val="xl102"/>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3">
    <w:name w:val="xl103"/>
    <w:basedOn w:val="Normal"/>
    <w:rsid w:val="00E50F39"/>
    <w:pPr>
      <w:pBdr>
        <w:top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04">
    <w:name w:val="xl104"/>
    <w:basedOn w:val="Normal"/>
    <w:rsid w:val="00E50F39"/>
    <w:pPr>
      <w:pBdr>
        <w:top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5">
    <w:name w:val="xl105"/>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6">
    <w:name w:val="xl106"/>
    <w:basedOn w:val="Normal"/>
    <w:rsid w:val="00E50F39"/>
    <w:pPr>
      <w:pBdr>
        <w:lef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7">
    <w:name w:val="xl107"/>
    <w:basedOn w:val="Normal"/>
    <w:rsid w:val="00E50F39"/>
    <w:pP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8">
    <w:name w:val="xl10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09">
    <w:name w:val="xl109"/>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10">
    <w:name w:val="xl110"/>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4472C4"/>
      <w:sz w:val="24"/>
      <w:szCs w:val="24"/>
      <w:lang w:eastAsia="en-GB"/>
    </w:rPr>
  </w:style>
  <w:style w:type="paragraph" w:customStyle="1" w:styleId="xl111">
    <w:name w:val="xl11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2">
    <w:name w:val="xl112"/>
    <w:basedOn w:val="Normal"/>
    <w:rsid w:val="00E50F39"/>
    <w:pPr>
      <w:pBdr>
        <w:top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3">
    <w:name w:val="xl11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4">
    <w:name w:val="xl114"/>
    <w:basedOn w:val="Normal"/>
    <w:rsid w:val="00E50F39"/>
    <w:pPr>
      <w:pBdr>
        <w:lef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5">
    <w:name w:val="xl115"/>
    <w:basedOn w:val="Normal"/>
    <w:rsid w:val="00E50F39"/>
    <w:pP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6">
    <w:name w:val="xl11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7">
    <w:name w:val="xl117"/>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BF8F00"/>
      <w:sz w:val="24"/>
      <w:szCs w:val="24"/>
      <w:lang w:eastAsia="en-GB"/>
    </w:rPr>
  </w:style>
  <w:style w:type="paragraph" w:customStyle="1" w:styleId="xl118">
    <w:name w:val="xl118"/>
    <w:basedOn w:val="Normal"/>
    <w:rsid w:val="00E50F39"/>
    <w:pPr>
      <w:pBdr>
        <w:lef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19">
    <w:name w:val="xl119"/>
    <w:basedOn w:val="Normal"/>
    <w:rsid w:val="00E50F39"/>
    <w:pP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0">
    <w:name w:val="xl120"/>
    <w:basedOn w:val="Normal"/>
    <w:rsid w:val="00E50F39"/>
    <w:pPr>
      <w:pBdr>
        <w:righ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1">
    <w:name w:val="xl121"/>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2">
    <w:name w:val="xl122"/>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3">
    <w:name w:val="xl123"/>
    <w:basedOn w:val="Normal"/>
    <w:rsid w:val="00E50F39"/>
    <w:pPr>
      <w:pBdr>
        <w:bottom w:val="single" w:sz="4" w:space="0" w:color="auto"/>
        <w:right w:val="single" w:sz="4" w:space="0" w:color="auto"/>
      </w:pBdr>
      <w:spacing w:before="100" w:beforeAutospacing="1" w:after="100" w:afterAutospacing="1" w:line="240" w:lineRule="auto"/>
      <w:jc w:val="center"/>
    </w:pPr>
    <w:rPr>
      <w:rFonts w:eastAsia="Times New Roman" w:cs="Times New Roman"/>
      <w:color w:val="757171"/>
      <w:sz w:val="24"/>
      <w:szCs w:val="24"/>
      <w:lang w:eastAsia="en-GB"/>
    </w:rPr>
  </w:style>
  <w:style w:type="paragraph" w:customStyle="1" w:styleId="xl124">
    <w:name w:val="xl124"/>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5">
    <w:name w:val="xl125"/>
    <w:basedOn w:val="Normal"/>
    <w:rsid w:val="00E50F39"/>
    <w:pPr>
      <w:pBdr>
        <w:top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6">
    <w:name w:val="xl126"/>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7">
    <w:name w:val="xl127"/>
    <w:basedOn w:val="Normal"/>
    <w:rsid w:val="00E50F39"/>
    <w:pPr>
      <w:pBdr>
        <w:lef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8">
    <w:name w:val="xl128"/>
    <w:basedOn w:val="Normal"/>
    <w:rsid w:val="00E50F39"/>
    <w:pP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29">
    <w:name w:val="xl129"/>
    <w:basedOn w:val="Normal"/>
    <w:rsid w:val="00E50F39"/>
    <w:pPr>
      <w:pBdr>
        <w:right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30">
    <w:name w:val="xl130"/>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FFC000"/>
      <w:sz w:val="24"/>
      <w:szCs w:val="24"/>
      <w:lang w:eastAsia="en-GB"/>
    </w:rPr>
  </w:style>
  <w:style w:type="paragraph" w:customStyle="1" w:styleId="xl131">
    <w:name w:val="xl131"/>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2">
    <w:name w:val="xl132"/>
    <w:basedOn w:val="Normal"/>
    <w:rsid w:val="00E50F39"/>
    <w:pPr>
      <w:pBdr>
        <w:top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3">
    <w:name w:val="xl133"/>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4">
    <w:name w:val="xl134"/>
    <w:basedOn w:val="Normal"/>
    <w:rsid w:val="00E50F39"/>
    <w:pPr>
      <w:pBdr>
        <w:right w:val="single" w:sz="4" w:space="0" w:color="auto"/>
      </w:pBdr>
      <w:spacing w:before="100" w:beforeAutospacing="1" w:after="100" w:afterAutospacing="1" w:line="240" w:lineRule="auto"/>
      <w:jc w:val="center"/>
    </w:pPr>
    <w:rPr>
      <w:rFonts w:eastAsia="Times New Roman" w:cs="Times New Roman"/>
      <w:color w:val="C00000"/>
      <w:sz w:val="24"/>
      <w:szCs w:val="24"/>
      <w:lang w:eastAsia="en-GB"/>
    </w:rPr>
  </w:style>
  <w:style w:type="paragraph" w:customStyle="1" w:styleId="xl135">
    <w:name w:val="xl135"/>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6">
    <w:name w:val="xl136"/>
    <w:basedOn w:val="Normal"/>
    <w:rsid w:val="00E50F39"/>
    <w:pPr>
      <w:pBdr>
        <w:top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7">
    <w:name w:val="xl137"/>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8">
    <w:name w:val="xl138"/>
    <w:basedOn w:val="Normal"/>
    <w:rsid w:val="00E50F39"/>
    <w:pPr>
      <w:pBdr>
        <w:righ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39">
    <w:name w:val="xl139"/>
    <w:basedOn w:val="Normal"/>
    <w:rsid w:val="00E50F39"/>
    <w:pPr>
      <w:pBdr>
        <w:left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0">
    <w:name w:val="xl140"/>
    <w:basedOn w:val="Normal"/>
    <w:rsid w:val="00E50F39"/>
    <w:pP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1">
    <w:name w:val="xl141"/>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305496"/>
      <w:sz w:val="24"/>
      <w:szCs w:val="24"/>
      <w:lang w:eastAsia="en-GB"/>
    </w:rPr>
  </w:style>
  <w:style w:type="paragraph" w:customStyle="1" w:styleId="xl142">
    <w:name w:val="xl142"/>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3">
    <w:name w:val="xl143"/>
    <w:basedOn w:val="Normal"/>
    <w:rsid w:val="00E50F39"/>
    <w:pPr>
      <w:pBdr>
        <w:top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4">
    <w:name w:val="xl144"/>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5">
    <w:name w:val="xl145"/>
    <w:basedOn w:val="Normal"/>
    <w:rsid w:val="00E50F39"/>
    <w:pPr>
      <w:pBdr>
        <w:lef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6">
    <w:name w:val="xl146"/>
    <w:basedOn w:val="Normal"/>
    <w:rsid w:val="00E50F39"/>
    <w:pP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7">
    <w:name w:val="xl147"/>
    <w:basedOn w:val="Normal"/>
    <w:rsid w:val="00E50F39"/>
    <w:pPr>
      <w:pBdr>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48">
    <w:name w:val="xl148"/>
    <w:basedOn w:val="Normal"/>
    <w:rsid w:val="00E50F39"/>
    <w:pPr>
      <w:pBdr>
        <w:top w:val="single" w:sz="4" w:space="0" w:color="auto"/>
        <w:lef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49">
    <w:name w:val="xl149"/>
    <w:basedOn w:val="Normal"/>
    <w:rsid w:val="00E50F39"/>
    <w:pPr>
      <w:pBdr>
        <w:top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0">
    <w:name w:val="xl150"/>
    <w:basedOn w:val="Normal"/>
    <w:rsid w:val="00E50F39"/>
    <w:pPr>
      <w:pBdr>
        <w:top w:val="single" w:sz="4" w:space="0" w:color="auto"/>
        <w:righ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1">
    <w:name w:val="xl151"/>
    <w:basedOn w:val="Normal"/>
    <w:rsid w:val="00E50F39"/>
    <w:pPr>
      <w:pBdr>
        <w:lef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2">
    <w:name w:val="xl152"/>
    <w:basedOn w:val="Normal"/>
    <w:rsid w:val="00E50F39"/>
    <w:pP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3">
    <w:name w:val="xl153"/>
    <w:basedOn w:val="Normal"/>
    <w:rsid w:val="00E50F39"/>
    <w:pPr>
      <w:pBdr>
        <w:right w:val="single" w:sz="4" w:space="0" w:color="auto"/>
      </w:pBdr>
      <w:spacing w:before="100" w:beforeAutospacing="1" w:after="100" w:afterAutospacing="1" w:line="240" w:lineRule="auto"/>
      <w:jc w:val="center"/>
    </w:pPr>
    <w:rPr>
      <w:rFonts w:eastAsia="Times New Roman" w:cs="Times New Roman"/>
      <w:color w:val="990099"/>
      <w:sz w:val="24"/>
      <w:szCs w:val="24"/>
      <w:lang w:eastAsia="en-GB"/>
    </w:rPr>
  </w:style>
  <w:style w:type="paragraph" w:customStyle="1" w:styleId="xl154">
    <w:name w:val="xl154"/>
    <w:basedOn w:val="Normal"/>
    <w:rsid w:val="00E50F39"/>
    <w:pPr>
      <w:pBdr>
        <w:left w:val="single" w:sz="4" w:space="0" w:color="auto"/>
      </w:pBd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5">
    <w:name w:val="xl155"/>
    <w:basedOn w:val="Normal"/>
    <w:rsid w:val="00E50F39"/>
    <w:pP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6">
    <w:name w:val="xl156"/>
    <w:basedOn w:val="Normal"/>
    <w:rsid w:val="00E50F39"/>
    <w:pPr>
      <w:pBdr>
        <w:right w:val="single" w:sz="4" w:space="0" w:color="auto"/>
      </w:pBd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7">
    <w:name w:val="xl157"/>
    <w:basedOn w:val="Normal"/>
    <w:rsid w:val="00E50F39"/>
    <w:pP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8">
    <w:name w:val="xl158"/>
    <w:basedOn w:val="Normal"/>
    <w:rsid w:val="00E50F39"/>
    <w:pPr>
      <w:pBdr>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59">
    <w:name w:val="xl159"/>
    <w:basedOn w:val="Normal"/>
    <w:rsid w:val="00E50F39"/>
    <w:pPr>
      <w:pBdr>
        <w:bottom w:val="single" w:sz="4" w:space="0" w:color="auto"/>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0">
    <w:name w:val="xl160"/>
    <w:basedOn w:val="Normal"/>
    <w:rsid w:val="00E50F39"/>
    <w:pPr>
      <w:pBdr>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1">
    <w:name w:val="xl161"/>
    <w:basedOn w:val="Normal"/>
    <w:rsid w:val="00E50F39"/>
    <w:pPr>
      <w:pBdr>
        <w:left w:val="single" w:sz="4" w:space="0" w:color="auto"/>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2">
    <w:name w:val="xl162"/>
    <w:basedOn w:val="Normal"/>
    <w:rsid w:val="00E50F39"/>
    <w:pPr>
      <w:pBdr>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3">
    <w:name w:val="xl163"/>
    <w:basedOn w:val="Normal"/>
    <w:rsid w:val="00E50F39"/>
    <w:pPr>
      <w:pBdr>
        <w:right w:val="single" w:sz="4" w:space="0" w:color="auto"/>
      </w:pBdr>
      <w:spacing w:before="100" w:beforeAutospacing="1" w:after="100" w:afterAutospacing="1" w:line="240" w:lineRule="auto"/>
      <w:jc w:val="center"/>
    </w:pPr>
    <w:rPr>
      <w:rFonts w:eastAsia="Times New Roman" w:cs="Times New Roman"/>
      <w:color w:val="008080"/>
      <w:sz w:val="24"/>
      <w:szCs w:val="24"/>
      <w:lang w:eastAsia="en-GB"/>
    </w:rPr>
  </w:style>
  <w:style w:type="paragraph" w:customStyle="1" w:styleId="xl164">
    <w:name w:val="xl164"/>
    <w:basedOn w:val="Normal"/>
    <w:rsid w:val="00E50F39"/>
    <w:pPr>
      <w:spacing w:before="100" w:beforeAutospacing="1" w:after="100" w:afterAutospacing="1" w:line="240" w:lineRule="auto"/>
      <w:jc w:val="center"/>
    </w:pPr>
    <w:rPr>
      <w:rFonts w:eastAsia="Times New Roman" w:cs="Times New Roman"/>
      <w:color w:val="FFFFFF"/>
      <w:sz w:val="24"/>
      <w:szCs w:val="24"/>
      <w:lang w:eastAsia="en-GB"/>
    </w:rPr>
  </w:style>
  <w:style w:type="paragraph" w:customStyle="1" w:styleId="xl165">
    <w:name w:val="xl165"/>
    <w:basedOn w:val="Normal"/>
    <w:rsid w:val="00E50F39"/>
    <w:pPr>
      <w:pBdr>
        <w:top w:val="single" w:sz="4" w:space="0" w:color="auto"/>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6">
    <w:name w:val="xl166"/>
    <w:basedOn w:val="Normal"/>
    <w:rsid w:val="00E50F39"/>
    <w:pPr>
      <w:pBdr>
        <w:top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7">
    <w:name w:val="xl167"/>
    <w:basedOn w:val="Normal"/>
    <w:rsid w:val="00E50F39"/>
    <w:pPr>
      <w:pBdr>
        <w:top w:val="single" w:sz="4" w:space="0" w:color="auto"/>
        <w:bottom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8">
    <w:name w:val="xl168"/>
    <w:basedOn w:val="Normal"/>
    <w:rsid w:val="00E50F39"/>
    <w:pPr>
      <w:pBdr>
        <w:top w:val="single" w:sz="4" w:space="0" w:color="auto"/>
        <w:bottom w:val="single" w:sz="4" w:space="0" w:color="auto"/>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69">
    <w:name w:val="xl169"/>
    <w:basedOn w:val="Normal"/>
    <w:rsid w:val="00E50F39"/>
    <w:pPr>
      <w:pBdr>
        <w:lef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0">
    <w:name w:val="xl170"/>
    <w:basedOn w:val="Normal"/>
    <w:rsid w:val="00E50F39"/>
    <w:pP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1">
    <w:name w:val="xl171"/>
    <w:basedOn w:val="Normal"/>
    <w:rsid w:val="00E50F39"/>
    <w:pPr>
      <w:pBdr>
        <w:right w:val="single" w:sz="4" w:space="0" w:color="auto"/>
      </w:pBdr>
      <w:shd w:val="clear" w:color="000000" w:fill="000000"/>
      <w:spacing w:before="100" w:beforeAutospacing="1" w:after="100" w:afterAutospacing="1" w:line="240" w:lineRule="auto"/>
      <w:jc w:val="center"/>
    </w:pPr>
    <w:rPr>
      <w:rFonts w:eastAsia="Times New Roman" w:cs="Times New Roman"/>
      <w:color w:val="FFFFFF"/>
      <w:sz w:val="28"/>
      <w:szCs w:val="28"/>
      <w:lang w:eastAsia="en-GB"/>
    </w:rPr>
  </w:style>
  <w:style w:type="paragraph" w:customStyle="1" w:styleId="xl172">
    <w:name w:val="xl172"/>
    <w:basedOn w:val="Normal"/>
    <w:rsid w:val="00E50F39"/>
    <w:pPr>
      <w:pBdr>
        <w:left w:val="single" w:sz="4" w:space="0" w:color="auto"/>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73">
    <w:name w:val="xl173"/>
    <w:basedOn w:val="Normal"/>
    <w:rsid w:val="00E50F39"/>
    <w:pPr>
      <w:pBdr>
        <w:bottom w:val="single" w:sz="4" w:space="0" w:color="auto"/>
      </w:pBdr>
      <w:spacing w:before="100" w:beforeAutospacing="1" w:after="100" w:afterAutospacing="1" w:line="240" w:lineRule="auto"/>
      <w:jc w:val="center"/>
    </w:pPr>
    <w:rPr>
      <w:rFonts w:eastAsia="Times New Roman" w:cs="Times New Roman"/>
      <w:color w:val="auto"/>
      <w:sz w:val="24"/>
      <w:szCs w:val="24"/>
      <w:lang w:eastAsia="en-GB"/>
    </w:rPr>
  </w:style>
  <w:style w:type="paragraph" w:customStyle="1" w:styleId="xl174">
    <w:name w:val="xl174"/>
    <w:basedOn w:val="Normal"/>
    <w:rsid w:val="00E50F39"/>
    <w:pPr>
      <w:pBdr>
        <w:bottom w:val="single" w:sz="4" w:space="0" w:color="auto"/>
        <w:right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paragraph" w:customStyle="1" w:styleId="xl175">
    <w:name w:val="xl175"/>
    <w:basedOn w:val="Normal"/>
    <w:rsid w:val="00E50F39"/>
    <w:pPr>
      <w:pBdr>
        <w:top w:val="single" w:sz="4" w:space="0" w:color="auto"/>
        <w:bottom w:val="single" w:sz="4" w:space="0" w:color="auto"/>
      </w:pBdr>
      <w:spacing w:before="100" w:beforeAutospacing="1" w:after="100" w:afterAutospacing="1" w:line="240" w:lineRule="auto"/>
    </w:pPr>
    <w:rPr>
      <w:rFonts w:eastAsia="Times New Roman" w:cs="Times New Roman"/>
      <w:color w:val="auto"/>
      <w:sz w:val="24"/>
      <w:szCs w:val="24"/>
      <w:lang w:eastAsia="en-GB"/>
    </w:rPr>
  </w:style>
  <w:style w:type="character" w:styleId="EndnoteReference">
    <w:name w:val="endnote reference"/>
    <w:basedOn w:val="DefaultParagraphFont"/>
    <w:semiHidden/>
    <w:unhideWhenUsed/>
    <w:rsid w:val="00954658"/>
    <w:rPr>
      <w:vertAlign w:val="superscript"/>
    </w:rPr>
  </w:style>
  <w:style w:type="character" w:styleId="PlaceholderText">
    <w:name w:val="Placeholder Text"/>
    <w:basedOn w:val="DefaultParagraphFont"/>
    <w:uiPriority w:val="99"/>
    <w:semiHidden/>
    <w:rsid w:val="009739D0"/>
    <w:rPr>
      <w:color w:val="808080"/>
    </w:rPr>
  </w:style>
  <w:style w:type="paragraph" w:styleId="Caption">
    <w:name w:val="caption"/>
    <w:basedOn w:val="Normal"/>
    <w:next w:val="Normal"/>
    <w:uiPriority w:val="99"/>
    <w:unhideWhenUsed/>
    <w:qFormat/>
    <w:rsid w:val="000741EA"/>
    <w:pPr>
      <w:spacing w:line="240" w:lineRule="auto"/>
    </w:pPr>
    <w:rPr>
      <w:i/>
      <w:iCs/>
      <w:color w:val="1F497D" w:themeColor="text2"/>
      <w:sz w:val="18"/>
      <w:szCs w:val="18"/>
    </w:rPr>
  </w:style>
  <w:style w:type="table" w:customStyle="1" w:styleId="TableGrid1">
    <w:name w:val="Table Grid1"/>
    <w:basedOn w:val="TableNormal"/>
    <w:next w:val="TableGrid"/>
    <w:uiPriority w:val="39"/>
    <w:rsid w:val="009A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12B8"/>
    <w:pPr>
      <w:spacing w:after="0" w:line="240" w:lineRule="auto"/>
    </w:pPr>
    <w:rPr>
      <w:rFonts w:ascii="Franklin Gothic Book" w:hAnsi="Franklin Gothic Book"/>
      <w:color w:val="404040" w:themeColor="text1" w:themeTint="BF"/>
    </w:rPr>
  </w:style>
  <w:style w:type="character" w:customStyle="1" w:styleId="title-text">
    <w:name w:val="title-text"/>
    <w:basedOn w:val="DefaultParagraphFont"/>
    <w:rsid w:val="004B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0076">
      <w:bodyDiv w:val="1"/>
      <w:marLeft w:val="0"/>
      <w:marRight w:val="0"/>
      <w:marTop w:val="0"/>
      <w:marBottom w:val="0"/>
      <w:divBdr>
        <w:top w:val="none" w:sz="0" w:space="0" w:color="auto"/>
        <w:left w:val="none" w:sz="0" w:space="0" w:color="auto"/>
        <w:bottom w:val="none" w:sz="0" w:space="0" w:color="auto"/>
        <w:right w:val="none" w:sz="0" w:space="0" w:color="auto"/>
      </w:divBdr>
    </w:div>
    <w:div w:id="156463083">
      <w:bodyDiv w:val="1"/>
      <w:marLeft w:val="0"/>
      <w:marRight w:val="0"/>
      <w:marTop w:val="0"/>
      <w:marBottom w:val="0"/>
      <w:divBdr>
        <w:top w:val="none" w:sz="0" w:space="0" w:color="auto"/>
        <w:left w:val="none" w:sz="0" w:space="0" w:color="auto"/>
        <w:bottom w:val="none" w:sz="0" w:space="0" w:color="auto"/>
        <w:right w:val="none" w:sz="0" w:space="0" w:color="auto"/>
      </w:divBdr>
    </w:div>
    <w:div w:id="162666392">
      <w:bodyDiv w:val="1"/>
      <w:marLeft w:val="0"/>
      <w:marRight w:val="0"/>
      <w:marTop w:val="0"/>
      <w:marBottom w:val="0"/>
      <w:divBdr>
        <w:top w:val="none" w:sz="0" w:space="0" w:color="auto"/>
        <w:left w:val="none" w:sz="0" w:space="0" w:color="auto"/>
        <w:bottom w:val="none" w:sz="0" w:space="0" w:color="auto"/>
        <w:right w:val="none" w:sz="0" w:space="0" w:color="auto"/>
      </w:divBdr>
    </w:div>
    <w:div w:id="190068281">
      <w:bodyDiv w:val="1"/>
      <w:marLeft w:val="0"/>
      <w:marRight w:val="0"/>
      <w:marTop w:val="0"/>
      <w:marBottom w:val="0"/>
      <w:divBdr>
        <w:top w:val="none" w:sz="0" w:space="0" w:color="auto"/>
        <w:left w:val="none" w:sz="0" w:space="0" w:color="auto"/>
        <w:bottom w:val="none" w:sz="0" w:space="0" w:color="auto"/>
        <w:right w:val="none" w:sz="0" w:space="0" w:color="auto"/>
      </w:divBdr>
    </w:div>
    <w:div w:id="233586418">
      <w:bodyDiv w:val="1"/>
      <w:marLeft w:val="0"/>
      <w:marRight w:val="0"/>
      <w:marTop w:val="0"/>
      <w:marBottom w:val="0"/>
      <w:divBdr>
        <w:top w:val="none" w:sz="0" w:space="0" w:color="auto"/>
        <w:left w:val="none" w:sz="0" w:space="0" w:color="auto"/>
        <w:bottom w:val="none" w:sz="0" w:space="0" w:color="auto"/>
        <w:right w:val="none" w:sz="0" w:space="0" w:color="auto"/>
      </w:divBdr>
    </w:div>
    <w:div w:id="276718216">
      <w:bodyDiv w:val="1"/>
      <w:marLeft w:val="0"/>
      <w:marRight w:val="0"/>
      <w:marTop w:val="0"/>
      <w:marBottom w:val="0"/>
      <w:divBdr>
        <w:top w:val="none" w:sz="0" w:space="0" w:color="auto"/>
        <w:left w:val="none" w:sz="0" w:space="0" w:color="auto"/>
        <w:bottom w:val="none" w:sz="0" w:space="0" w:color="auto"/>
        <w:right w:val="none" w:sz="0" w:space="0" w:color="auto"/>
      </w:divBdr>
    </w:div>
    <w:div w:id="494995757">
      <w:bodyDiv w:val="1"/>
      <w:marLeft w:val="0"/>
      <w:marRight w:val="0"/>
      <w:marTop w:val="0"/>
      <w:marBottom w:val="0"/>
      <w:divBdr>
        <w:top w:val="none" w:sz="0" w:space="0" w:color="auto"/>
        <w:left w:val="none" w:sz="0" w:space="0" w:color="auto"/>
        <w:bottom w:val="none" w:sz="0" w:space="0" w:color="auto"/>
        <w:right w:val="none" w:sz="0" w:space="0" w:color="auto"/>
      </w:divBdr>
    </w:div>
    <w:div w:id="510950036">
      <w:bodyDiv w:val="1"/>
      <w:marLeft w:val="0"/>
      <w:marRight w:val="0"/>
      <w:marTop w:val="0"/>
      <w:marBottom w:val="0"/>
      <w:divBdr>
        <w:top w:val="none" w:sz="0" w:space="0" w:color="auto"/>
        <w:left w:val="none" w:sz="0" w:space="0" w:color="auto"/>
        <w:bottom w:val="none" w:sz="0" w:space="0" w:color="auto"/>
        <w:right w:val="none" w:sz="0" w:space="0" w:color="auto"/>
      </w:divBdr>
    </w:div>
    <w:div w:id="513571498">
      <w:bodyDiv w:val="1"/>
      <w:marLeft w:val="0"/>
      <w:marRight w:val="0"/>
      <w:marTop w:val="0"/>
      <w:marBottom w:val="0"/>
      <w:divBdr>
        <w:top w:val="none" w:sz="0" w:space="0" w:color="auto"/>
        <w:left w:val="none" w:sz="0" w:space="0" w:color="auto"/>
        <w:bottom w:val="none" w:sz="0" w:space="0" w:color="auto"/>
        <w:right w:val="none" w:sz="0" w:space="0" w:color="auto"/>
      </w:divBdr>
    </w:div>
    <w:div w:id="1068305141">
      <w:bodyDiv w:val="1"/>
      <w:marLeft w:val="0"/>
      <w:marRight w:val="0"/>
      <w:marTop w:val="0"/>
      <w:marBottom w:val="0"/>
      <w:divBdr>
        <w:top w:val="none" w:sz="0" w:space="0" w:color="auto"/>
        <w:left w:val="none" w:sz="0" w:space="0" w:color="auto"/>
        <w:bottom w:val="none" w:sz="0" w:space="0" w:color="auto"/>
        <w:right w:val="none" w:sz="0" w:space="0" w:color="auto"/>
      </w:divBdr>
    </w:div>
    <w:div w:id="1303268521">
      <w:bodyDiv w:val="1"/>
      <w:marLeft w:val="0"/>
      <w:marRight w:val="0"/>
      <w:marTop w:val="0"/>
      <w:marBottom w:val="0"/>
      <w:divBdr>
        <w:top w:val="none" w:sz="0" w:space="0" w:color="auto"/>
        <w:left w:val="none" w:sz="0" w:space="0" w:color="auto"/>
        <w:bottom w:val="none" w:sz="0" w:space="0" w:color="auto"/>
        <w:right w:val="none" w:sz="0" w:space="0" w:color="auto"/>
      </w:divBdr>
    </w:div>
    <w:div w:id="1330139034">
      <w:bodyDiv w:val="1"/>
      <w:marLeft w:val="0"/>
      <w:marRight w:val="0"/>
      <w:marTop w:val="0"/>
      <w:marBottom w:val="0"/>
      <w:divBdr>
        <w:top w:val="none" w:sz="0" w:space="0" w:color="auto"/>
        <w:left w:val="none" w:sz="0" w:space="0" w:color="auto"/>
        <w:bottom w:val="none" w:sz="0" w:space="0" w:color="auto"/>
        <w:right w:val="none" w:sz="0" w:space="0" w:color="auto"/>
      </w:divBdr>
    </w:div>
    <w:div w:id="1867866286">
      <w:bodyDiv w:val="1"/>
      <w:marLeft w:val="0"/>
      <w:marRight w:val="0"/>
      <w:marTop w:val="0"/>
      <w:marBottom w:val="0"/>
      <w:divBdr>
        <w:top w:val="none" w:sz="0" w:space="0" w:color="auto"/>
        <w:left w:val="none" w:sz="0" w:space="0" w:color="auto"/>
        <w:bottom w:val="none" w:sz="0" w:space="0" w:color="auto"/>
        <w:right w:val="none" w:sz="0" w:space="0" w:color="auto"/>
      </w:divBdr>
    </w:div>
    <w:div w:id="2103796318">
      <w:bodyDiv w:val="1"/>
      <w:marLeft w:val="0"/>
      <w:marRight w:val="0"/>
      <w:marTop w:val="0"/>
      <w:marBottom w:val="0"/>
      <w:divBdr>
        <w:top w:val="none" w:sz="0" w:space="0" w:color="auto"/>
        <w:left w:val="none" w:sz="0" w:space="0" w:color="auto"/>
        <w:bottom w:val="none" w:sz="0" w:space="0" w:color="auto"/>
        <w:right w:val="none" w:sz="0" w:space="0" w:color="auto"/>
      </w:divBdr>
    </w:div>
    <w:div w:id="214581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arket-sustainability-and-fair-cost-of-care-fund-2022-to-2023-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market-sustainability-and-fair-cost-of-care-fund-2022-to-2023-guidanc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care-homes-market-study-summary-of-final-report" TargetMode="External"/><Relationship Id="rId2" Type="http://schemas.openxmlformats.org/officeDocument/2006/relationships/hyperlink" Target="https://www.gov.uk/government/publications/market-sustainability-and-fair-cost-of-care-fund-2022-to-2023-guidance/annex-e-further-detail-on-return-on-capital-and-return-on-operations" TargetMode="External"/><Relationship Id="rId1" Type="http://schemas.openxmlformats.org/officeDocument/2006/relationships/hyperlink" Target="https://www.gov.uk/government/publications/market-sustainability-and-fair-cost-of-care-fund-2022-to-2023-guida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gnyteDrive\laingbuisson\Shared\L_B\FAIR%20PRICE%20&amp;%2018(3)%20+%20MARKET%20SUSTAINABILITY\FCC%20National%202022\FCC%20-%20Work%20in%20Progress\Sheffield\Archive\Confidence%20intervals%20graph%20-%20Templ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5396113898861"/>
          <c:y val="3.282356943747404E-2"/>
          <c:w val="0.86411564423464704"/>
          <c:h val="0.89795370772408845"/>
        </c:manualLayout>
      </c:layout>
      <c:barChart>
        <c:barDir val="col"/>
        <c:grouping val="clustered"/>
        <c:varyColors val="0"/>
        <c:ser>
          <c:idx val="1"/>
          <c:order val="2"/>
          <c:tx>
            <c:v>Lower Boundary</c:v>
          </c:tx>
          <c:spPr>
            <a:solidFill>
              <a:schemeClr val="accent2"/>
            </a:solidFill>
            <a:ln>
              <a:noFill/>
            </a:ln>
            <a:effectLst/>
          </c:spPr>
          <c:invertIfNegative val="0"/>
          <c:dLbls>
            <c:dLbl>
              <c:idx val="0"/>
              <c:layout>
                <c:manualLayout>
                  <c:x val="1.7226528854435515E-3"/>
                  <c:y val="5.39236554562224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55-4F6B-8D92-6F49264BD1F0}"/>
                </c:ext>
              </c:extLst>
            </c:dLbl>
            <c:dLbl>
              <c:idx val="1"/>
              <c:layout>
                <c:manualLayout>
                  <c:x val="-6.3163209466145705E-17"/>
                  <c:y val="5.3923655456222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55-4F6B-8D92-6F49264BD1F0}"/>
                </c:ext>
              </c:extLst>
            </c:dLbl>
            <c:dLbl>
              <c:idx val="2"/>
              <c:layout>
                <c:manualLayout>
                  <c:x val="-1.2632641893229141E-16"/>
                  <c:y val="5.9599829714772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55-4F6B-8D92-6F49264BD1F0}"/>
                </c:ext>
              </c:extLst>
            </c:dLbl>
            <c:dLbl>
              <c:idx val="3"/>
              <c:layout>
                <c:manualLayout>
                  <c:x val="0"/>
                  <c:y val="5.9599829714772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55-4F6B-8D92-6F49264BD1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Sheet1!$G$3:$J$3</c:f>
              <c:numCache>
                <c:formatCode>0</c:formatCode>
                <c:ptCount val="4"/>
                <c:pt idx="0">
                  <c:v>743.2532257492602</c:v>
                </c:pt>
                <c:pt idx="1">
                  <c:v>764.2387865251203</c:v>
                </c:pt>
                <c:pt idx="2">
                  <c:v>876.03514281573041</c:v>
                </c:pt>
                <c:pt idx="3">
                  <c:v>910.75012354278465</c:v>
                </c:pt>
              </c:numCache>
            </c:numRef>
          </c:val>
          <c:extLst>
            <c:ext xmlns:c16="http://schemas.microsoft.com/office/drawing/2014/chart" uri="{C3380CC4-5D6E-409C-BE32-E72D297353CC}">
              <c16:uniqueId val="{00000000-365E-49AF-B232-C171E95048A3}"/>
            </c:ext>
          </c:extLst>
        </c:ser>
        <c:ser>
          <c:idx val="2"/>
          <c:order val="3"/>
          <c:tx>
            <c:v>Upper Boundary</c:v>
          </c:tx>
          <c:spPr>
            <a:solidFill>
              <a:sysClr val="window" lastClr="FF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Sheet1!$G$2:$J$2</c:f>
              <c:numCache>
                <c:formatCode>0.0</c:formatCode>
                <c:ptCount val="4"/>
                <c:pt idx="0">
                  <c:v>914.96020788826297</c:v>
                </c:pt>
                <c:pt idx="1">
                  <c:v>930.64739128838721</c:v>
                </c:pt>
                <c:pt idx="2">
                  <c:v>1151.9120894746109</c:v>
                </c:pt>
                <c:pt idx="3">
                  <c:v>1182.7302511484108</c:v>
                </c:pt>
              </c:numCache>
            </c:numRef>
          </c:val>
          <c:extLst>
            <c:ext xmlns:c16="http://schemas.microsoft.com/office/drawing/2014/chart" uri="{C3380CC4-5D6E-409C-BE32-E72D297353CC}">
              <c16:uniqueId val="{00000001-365E-49AF-B232-C171E95048A3}"/>
            </c:ext>
          </c:extLst>
        </c:ser>
        <c:ser>
          <c:idx val="0"/>
          <c:order val="4"/>
          <c:tx>
            <c:v>Fair Cost of Care</c:v>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Sheet1!$G$7:$J$7</c:f>
                <c:numCache>
                  <c:formatCode>General</c:formatCode>
                  <c:ptCount val="4"/>
                  <c:pt idx="0">
                    <c:v>127.41546106764451</c:v>
                  </c:pt>
                  <c:pt idx="1">
                    <c:v>124.58964446776884</c:v>
                  </c:pt>
                  <c:pt idx="2">
                    <c:v>175.38734265399239</c:v>
                  </c:pt>
                  <c:pt idx="3">
                    <c:v>143.46150432779245</c:v>
                  </c:pt>
                </c:numCache>
              </c:numRef>
            </c:plus>
            <c:minus>
              <c:numRef>
                <c:f>Sheet1!$G$8:$J$8</c:f>
                <c:numCache>
                  <c:formatCode>General</c:formatCode>
                  <c:ptCount val="4"/>
                  <c:pt idx="0">
                    <c:v>44.291521071358261</c:v>
                  </c:pt>
                  <c:pt idx="1">
                    <c:v>41.818960295498073</c:v>
                  </c:pt>
                  <c:pt idx="2">
                    <c:v>100.48960400488806</c:v>
                  </c:pt>
                  <c:pt idx="3">
                    <c:v>128.51862327783374</c:v>
                  </c:pt>
                </c:numCache>
              </c:numRef>
            </c:minus>
            <c:spPr>
              <a:noFill/>
              <a:ln w="9525" cap="flat" cmpd="sng" algn="ctr">
                <a:solidFill>
                  <a:schemeClr val="tx1">
                    <a:lumMod val="65000"/>
                    <a:lumOff val="35000"/>
                  </a:schemeClr>
                </a:solidFill>
                <a:round/>
              </a:ln>
              <a:effectLst/>
            </c:spPr>
          </c:errBars>
          <c:cat>
            <c:strRef>
              <c:f>Sheet1!$G$6:$J$6</c:f>
              <c:strCache>
                <c:ptCount val="4"/>
                <c:pt idx="0">
                  <c:v>Non-Nursing</c:v>
                </c:pt>
                <c:pt idx="1">
                  <c:v>Non-Nursing with enhancement</c:v>
                </c:pt>
                <c:pt idx="2">
                  <c:v>Nursing</c:v>
                </c:pt>
                <c:pt idx="3">
                  <c:v>Nursing with enhancement</c:v>
                </c:pt>
              </c:strCache>
            </c:strRef>
          </c:cat>
          <c:val>
            <c:numRef>
              <c:f>Sheet1!$G$4:$J$4</c:f>
              <c:numCache>
                <c:formatCode>0.0</c:formatCode>
                <c:ptCount val="4"/>
                <c:pt idx="0">
                  <c:v>787.54474682061846</c:v>
                </c:pt>
                <c:pt idx="1">
                  <c:v>806.05774682061838</c:v>
                </c:pt>
                <c:pt idx="2">
                  <c:v>976.52474682061847</c:v>
                </c:pt>
                <c:pt idx="3">
                  <c:v>1039.2687468206184</c:v>
                </c:pt>
              </c:numCache>
            </c:numRef>
          </c:val>
          <c:extLst>
            <c:ext xmlns:c16="http://schemas.microsoft.com/office/drawing/2014/chart" uri="{C3380CC4-5D6E-409C-BE32-E72D297353CC}">
              <c16:uniqueId val="{00000002-365E-49AF-B232-C171E95048A3}"/>
            </c:ext>
          </c:extLst>
        </c:ser>
        <c:dLbls>
          <c:showLegendKey val="0"/>
          <c:showVal val="1"/>
          <c:showCatName val="0"/>
          <c:showSerName val="0"/>
          <c:showPercent val="0"/>
          <c:showBubbleSize val="0"/>
        </c:dLbls>
        <c:gapWidth val="219"/>
        <c:overlap val="100"/>
        <c:axId val="825478376"/>
        <c:axId val="825481656"/>
      </c:barChart>
      <c:barChart>
        <c:barDir val="col"/>
        <c:grouping val="clustered"/>
        <c:varyColors val="0"/>
        <c:ser>
          <c:idx val="4"/>
          <c:order val="0"/>
          <c:tx>
            <c:v>Invisible LA</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Lit>
              <c:formatCode>General</c:formatCode>
              <c:ptCount val="1"/>
              <c:pt idx="0">
                <c:v>0</c:v>
              </c:pt>
            </c:numLit>
          </c:val>
          <c:extLst>
            <c:ext xmlns:c16="http://schemas.microsoft.com/office/drawing/2014/chart" uri="{C3380CC4-5D6E-409C-BE32-E72D297353CC}">
              <c16:uniqueId val="{00000003-365E-49AF-B232-C171E95048A3}"/>
            </c:ext>
          </c:extLst>
        </c:ser>
        <c:ser>
          <c:idx val="3"/>
          <c:order val="1"/>
          <c:tx>
            <c:v>Sheffield Council</c:v>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Sheet1!$G$9:$J$9</c:f>
              <c:numCache>
                <c:formatCode>General</c:formatCode>
                <c:ptCount val="4"/>
                <c:pt idx="0">
                  <c:v>547</c:v>
                </c:pt>
                <c:pt idx="1">
                  <c:v>547</c:v>
                </c:pt>
                <c:pt idx="2">
                  <c:v>756.19</c:v>
                </c:pt>
                <c:pt idx="3">
                  <c:v>756.19</c:v>
                </c:pt>
              </c:numCache>
            </c:numRef>
          </c:val>
          <c:extLst>
            <c:ext xmlns:c16="http://schemas.microsoft.com/office/drawing/2014/chart" uri="{C3380CC4-5D6E-409C-BE32-E72D297353CC}">
              <c16:uniqueId val="{00000004-365E-49AF-B232-C171E95048A3}"/>
            </c:ext>
          </c:extLst>
        </c:ser>
        <c:dLbls>
          <c:showLegendKey val="0"/>
          <c:showVal val="1"/>
          <c:showCatName val="0"/>
          <c:showSerName val="0"/>
          <c:showPercent val="0"/>
          <c:showBubbleSize val="0"/>
        </c:dLbls>
        <c:gapWidth val="0"/>
        <c:overlap val="-100"/>
        <c:axId val="751856128"/>
        <c:axId val="751849896"/>
      </c:barChart>
      <c:catAx>
        <c:axId val="82547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481656"/>
        <c:crosses val="autoZero"/>
        <c:auto val="1"/>
        <c:lblAlgn val="ctr"/>
        <c:lblOffset val="100"/>
        <c:noMultiLvlLbl val="0"/>
      </c:catAx>
      <c:valAx>
        <c:axId val="8254816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per week</a:t>
                </a:r>
              </a:p>
              <a:p>
                <a:pPr>
                  <a:defRPr/>
                </a:pP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quot;£&quot;#,##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478376"/>
        <c:crosses val="autoZero"/>
        <c:crossBetween val="between"/>
      </c:valAx>
      <c:valAx>
        <c:axId val="751849896"/>
        <c:scaling>
          <c:orientation val="minMax"/>
          <c:max val="1600"/>
        </c:scaling>
        <c:delete val="1"/>
        <c:axPos val="r"/>
        <c:numFmt formatCode="General" sourceLinked="1"/>
        <c:majorTickMark val="out"/>
        <c:minorTickMark val="none"/>
        <c:tickLblPos val="nextTo"/>
        <c:crossAx val="751856128"/>
        <c:crosses val="max"/>
        <c:crossBetween val="between"/>
      </c:valAx>
      <c:catAx>
        <c:axId val="751856128"/>
        <c:scaling>
          <c:orientation val="minMax"/>
        </c:scaling>
        <c:delete val="1"/>
        <c:axPos val="b"/>
        <c:majorTickMark val="out"/>
        <c:minorTickMark val="none"/>
        <c:tickLblPos val="nextTo"/>
        <c:crossAx val="751849896"/>
        <c:crosses val="autoZero"/>
        <c:auto val="1"/>
        <c:lblAlgn val="ctr"/>
        <c:lblOffset val="100"/>
        <c:noMultiLvlLbl val="0"/>
      </c:catAx>
      <c:spPr>
        <a:noFill/>
        <a:ln>
          <a:noFill/>
        </a:ln>
        <a:effectLst/>
      </c:spPr>
    </c:plotArea>
    <c:legend>
      <c:legendPos val="t"/>
      <c:legendEntry>
        <c:idx val="0"/>
        <c:delete val="1"/>
      </c:legendEntry>
      <c:legendEntry>
        <c:idx val="1"/>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17DC-A0FE-4701-A273-BD1DED8E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10440</Words>
  <Characters>59509</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Laing</dc:creator>
  <cp:lastModifiedBy>Alex Blacknell (Communities)</cp:lastModifiedBy>
  <cp:revision>2</cp:revision>
  <cp:lastPrinted>2022-08-03T13:23:00Z</cp:lastPrinted>
  <dcterms:created xsi:type="dcterms:W3CDTF">2022-10-14T14:27:00Z</dcterms:created>
  <dcterms:modified xsi:type="dcterms:W3CDTF">2022-10-14T14:27:00Z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2022-10-14T14:27:12Z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7417d6f8-ac4d-4d2b-94ef-290f378b9eff</vt:lpwstr>
  </property>
  <property fmtid="{D5CDD505-2E9C-101B-9397-08002B2CF9AE}" pid="8" name="MSIP_Label_c8588358-c3f1-4695-a290-e2f70d15689d_ContentBits">
    <vt:lpwstr>0</vt:lpwstr>
  </property>
</Properties>
</file>